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626110</wp:posOffset>
                </wp:positionH>
                <wp:positionV relativeFrom="page">
                  <wp:posOffset>463550</wp:posOffset>
                </wp:positionV>
                <wp:extent cx="679894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9894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9.3pt;margin-top:36.5pt;width:535.3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673735</wp:posOffset>
                </wp:positionH>
                <wp:positionV relativeFrom="page">
                  <wp:posOffset>463550</wp:posOffset>
                </wp:positionV>
                <wp:extent cx="670369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0369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53.05pt;margin-top:36.5pt;width:527.8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1101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5.1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962660</wp:posOffset>
                </wp:positionV>
                <wp:extent cx="681101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75.8pt" to="585.1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1837690</wp:posOffset>
                </wp:positionV>
                <wp:extent cx="681101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144.7pt" to="585.1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3052445</wp:posOffset>
                </wp:positionV>
                <wp:extent cx="681101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240.35pt" to="585.1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3911600</wp:posOffset>
                </wp:positionV>
                <wp:extent cx="681101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08pt" to="585.1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7427595</wp:posOffset>
                </wp:positionH>
                <wp:positionV relativeFrom="page">
                  <wp:posOffset>457200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4.85pt,36pt" to="584.8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Standaardaandelenoptie (long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25400</wp:posOffset>
                </wp:positionV>
                <wp:extent cx="679831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98310" cy="868680"/>
                        </a:xfrm>
                        <a:prstGeom prst="rect">
                          <a:avLst/>
                        </a:prstGeom>
                        <a:solidFill>
                          <a:srgbClr val="9CC2E5"/>
                        </a:solidFill>
                      </wps:spPr>
                      <wps:bodyPr/>
                    </wps:wsp>
                  </a:graphicData>
                </a:graphic>
              </wp:anchor>
            </w:drawing>
          </mc:Choice>
          <mc:Fallback>
            <w:pict>
              <v:rect id="Shape 10" o:spid="_x0000_s1035" style="position:absolute;margin-left:-4.6499pt;margin-top:2pt;width:535.3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2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aandelenopties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gestandaardiseerde aandelenopties (a / k / a "beursgenoteerde opties").</w:t>
      </w:r>
      <w:r>
        <w:rPr xmlns:w="http://schemas.openxmlformats.org/wordprocessingml/2006/main">
          <w:rFonts w:ascii="Calibri" w:cs="Calibri" w:eastAsia="Calibri" w:hAnsi="Calibri"/>
          <w:sz w:val="22"/>
          <w:szCs w:val="22"/>
          <w:color w:val="auto"/>
        </w:rPr>
        <w:t xml:space="preserve"> Standaardaandelenopties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83" w:lineRule="exact"/>
        <w:rPr>
          <w:sz w:val="24"/>
          <w:szCs w:val="24"/>
          <w:color w:val="auto"/>
        </w:rPr>
      </w:pPr>
    </w:p>
    <w:p>
      <w:pPr xmlns:w="http://schemas.openxmlformats.org/wordprocessingml/2006/main">
        <w:ind w:right="1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aandelenopties verhandelen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20955</wp:posOffset>
                </wp:positionV>
                <wp:extent cx="6798310"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98310" cy="4918075"/>
                        </a:xfrm>
                        <a:prstGeom prst="rect">
                          <a:avLst/>
                        </a:prstGeom>
                        <a:solidFill>
                          <a:srgbClr val="BDD6EE"/>
                        </a:solidFill>
                      </wps:spPr>
                      <wps:bodyPr/>
                    </wps:wsp>
                  </a:graphicData>
                </a:graphic>
              </wp:anchor>
            </w:drawing>
          </mc:Choice>
          <mc:Fallback>
            <w:pict>
              <v:rect id="Shape 11" o:spid="_x0000_s1036" style="position:absolute;margin-left:-4.6499pt;margin-top:1.65pt;width:535.3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2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aandelenoptie is het recht om een bepaald bedrag of een bepaalde waarde van een bepaald onderliggend aandeleneffect tegen een vaste prijs (</w:t>
      </w:r>
      <w:r>
        <w:rPr xmlns:w="http://schemas.openxmlformats.org/wordprocessingml/2006/main">
          <w:rFonts w:ascii="Calibri" w:cs="Calibri" w:eastAsia="Calibri" w:hAnsi="Calibri"/>
          <w:sz w:val="22"/>
          <w:szCs w:val="22"/>
          <w:i w:val="1"/>
          <w:iCs w:val="1"/>
          <w:color w:val="auto"/>
        </w:rPr>
        <w:t xml:space="preserve">d.w.z.</w:t>
      </w:r>
      <w:r>
        <w:rPr xmlns:w="http://schemas.openxmlformats.org/wordprocessingml/2006/main">
          <w:rFonts w:ascii="Calibri" w:cs="Calibri" w:eastAsia="Calibri" w:hAnsi="Calibri"/>
          <w:sz w:val="22"/>
          <w:szCs w:val="22"/>
          <w:color w:val="auto"/>
        </w:rPr>
        <w:t xml:space="preserve"> "uitoefenprijs") te</w:t>
      </w:r>
      <w:r>
        <w:rPr xmlns:w="http://schemas.openxmlformats.org/wordprocessingml/2006/main">
          <w:rFonts w:ascii="Calibri" w:cs="Calibri" w:eastAsia="Calibri" w:hAnsi="Calibri"/>
          <w:sz w:val="22"/>
          <w:szCs w:val="22"/>
          <w:color w:val="auto"/>
        </w:rPr>
        <w:t xml:space="preserve"> kopen of verkopen</w:t>
      </w:r>
      <w:r>
        <w:rPr xmlns:w="http://schemas.openxmlformats.org/wordprocessingml/2006/main">
          <w:rFonts w:ascii="Calibri" w:cs="Calibri" w:eastAsia="Calibri" w:hAnsi="Calibri"/>
          <w:sz w:val="22"/>
          <w:szCs w:val="22"/>
          <w:color w:val="auto"/>
        </w:rPr>
        <w:t xml:space="preserve"> door de optie vóór de opgegeven vervaldatum uit te oefenen.</w:t>
      </w:r>
      <w:r>
        <w:rPr xmlns:w="http://schemas.openxmlformats.org/wordprocessingml/2006/main">
          <w:rFonts w:ascii="Calibri" w:cs="Calibri" w:eastAsia="Calibri" w:hAnsi="Calibri"/>
          <w:sz w:val="22"/>
          <w:szCs w:val="22"/>
          <w:color w:val="auto"/>
        </w:rPr>
        <w:t xml:space="preserve"> De blootstelling aan het onderliggende aandeleneffect is derhalve indirect omdat de waarde van de optie wordt afgeleid van de waarde van het onderliggende effect.</w:t>
      </w:r>
      <w:r>
        <w:rPr xmlns:w="http://schemas.openxmlformats.org/wordprocessingml/2006/main">
          <w:rFonts w:ascii="Calibri" w:cs="Calibri" w:eastAsia="Calibri" w:hAnsi="Calibri"/>
          <w:sz w:val="22"/>
          <w:szCs w:val="22"/>
          <w:color w:val="auto"/>
        </w:rPr>
        <w:t xml:space="preserve"> Vervaldata voor aandelenopties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In bepaalde gevallen kan een collectieve actie met betrekking tot de onderliggende aandeleneffecten resulteren in een wijziging van de voorwaarden van de optie overeenkomstig de regels van OCC, die kunnen verschillen van de methodologie die wordt gebruikt in de Europese optiemarkten.</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ind w:right="6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te presteren volgens de voorwaarden om de onderliggende aandelenzekerheid tegen de uitoefenprijs te kopen of te verkopen.</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Standaardaandelenopties worden over het algemeen fysiek afgewikkeld, maar kunnen ook in contanten worden afgewikkeld.</w:t>
      </w:r>
      <w:r>
        <w:rPr xmlns:w="http://schemas.openxmlformats.org/wordprocessingml/2006/main">
          <w:rFonts w:ascii="Calibri" w:cs="Calibri" w:eastAsia="Calibri" w:hAnsi="Calibri"/>
          <w:sz w:val="22"/>
          <w:szCs w:val="22"/>
          <w:color w:val="auto"/>
        </w:rPr>
        <w:t xml:space="preserve"> Fysieke afwikkeling geeft de houder het recht de onderliggende aandeleneffecten bij de uitoefening te ontvangen (call) of fysiek af te leveren (put).</w:t>
      </w:r>
      <w:r>
        <w:rPr xmlns:w="http://schemas.openxmlformats.org/wordprocessingml/2006/main">
          <w:rFonts w:ascii="Calibri" w:cs="Calibri" w:eastAsia="Calibri" w:hAnsi="Calibri"/>
          <w:sz w:val="22"/>
          <w:szCs w:val="22"/>
          <w:color w:val="auto"/>
        </w:rPr>
        <w:t xml:space="preserve"> Bij afwikkeling in contanten heeft een houder het recht een contante betaling te ontvangen indien een bepaalde waarde van het onderliggende effect op het tijdstip van de uitoefening hoger (call) of lager is dan (put) de uitoefenprijs.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het onderliggende effect en zijn gevoeligheid voor prijsschommelingen (volatiliteit).</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4"/>
          <w:szCs w:val="24"/>
          <w:color w:val="auto"/>
        </w:rPr>
      </w:pPr>
    </w:p>
    <w:p>
      <w:pPr xmlns:w="http://schemas.openxmlformats.org/wordprocessingml/2006/main">
        <w:ind w:right="2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17780</wp:posOffset>
                </wp:positionV>
                <wp:extent cx="681037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1037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4pt" to="531.1pt,1.4pt" o:allowincell="f" strokecolor="#000000" strokeweight="0.48pt"/>
            </w:pict>
          </mc:Fallback>
        </mc:AlternateContent>
      </w:r>
    </w:p>
    <w:p>
      <w:pPr>
        <w:sectPr>
          <w:pgSz w:w="12240" w:h="15840" w:orient="portrait"/>
          <w:cols w:equalWidth="0" w:num="1">
            <w:col w:w="10520"/>
          </w:cols>
          <w:pgMar w:left="1080" w:top="699" w:right="64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1101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5.1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901255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125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45.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7427595</wp:posOffset>
                </wp:positionH>
                <wp:positionV relativeFrom="page">
                  <wp:posOffset>457200</wp:posOffset>
                </wp:positionV>
                <wp:extent cx="0" cy="901255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125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4.85pt,36pt" to="584.85pt,745.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1065530</wp:posOffset>
            </wp:positionH>
            <wp:positionV relativeFrom="paragraph">
              <wp:posOffset>15875</wp:posOffset>
            </wp:positionV>
            <wp:extent cx="4896485" cy="1779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1065530</wp:posOffset>
            </wp:positionH>
            <wp:positionV relativeFrom="paragraph">
              <wp:posOffset>15875</wp:posOffset>
            </wp:positionV>
            <wp:extent cx="4896485" cy="1779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ind w:right="1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107" w:lineRule="exact"/>
        <w:rPr>
          <w:sz w:val="20"/>
          <w:szCs w:val="20"/>
          <w:color w:val="auto"/>
        </w:rPr>
      </w:pPr>
    </w:p>
    <w:p>
      <w:pPr xmlns:w="http://schemas.openxmlformats.org/wordprocessingml/2006/main">
        <w:ind w:right="4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van een gestandaardiseerde aandelenoptie voor houders en schrijvers hangt af van de voorwaarden ervan, maar kan de volgende overwegingen omvatten:</w:t>
      </w:r>
    </w:p>
    <w:p>
      <w:pPr>
        <w:spacing w:after="0" w:line="80" w:lineRule="exact"/>
        <w:rPr>
          <w:sz w:val="20"/>
          <w:szCs w:val="20"/>
          <w:color w:val="auto"/>
        </w:rPr>
      </w:pPr>
    </w:p>
    <w:p>
      <w:pPr xmlns:w="http://schemas.openxmlformats.org/wordprocessingml/2006/main">
        <w:ind w:left="240" w:hanging="230"/>
        <w:spacing w:after="0" w:line="222"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optiehouder loopt het risico de volledige premie te verliezen als de uitoefenprijs voor een call boven de actuele marktwaarde van de onderliggende waarde ligt of als de uitoefenprijs voor een put onder de marktwaarde ligt.</w:t>
      </w:r>
      <w:r>
        <w:rPr xmlns:w="http://schemas.openxmlformats.org/wordprocessingml/2006/main">
          <w:rFonts w:ascii="Calibri" w:cs="Calibri" w:eastAsia="Calibri" w:hAnsi="Calibri"/>
          <w:sz w:val="22"/>
          <w:szCs w:val="22"/>
          <w:color w:val="auto"/>
        </w:rPr>
        <w:t xml:space="preserve"> In beide gevallen wordt gezegd dat de optie "uit het geld" verloopt.</w:t>
      </w:r>
      <w:r>
        <w:rPr xmlns:w="http://schemas.openxmlformats.org/wordprocessingml/2006/main">
          <w:rFonts w:ascii="Calibri" w:cs="Calibri" w:eastAsia="Calibri" w:hAnsi="Calibri"/>
          <w:sz w:val="22"/>
          <w:szCs w:val="22"/>
          <w:color w:val="auto"/>
        </w:rPr>
        <w:t xml:space="preserve"> Een optiehouder die zijn optie niet verkoopt of uitoefent vóór het verstrijken ervan, kan zijn volledige investering in de optie verliezen.</w:t>
      </w:r>
    </w:p>
    <w:p>
      <w:pPr>
        <w:spacing w:after="0" w:line="80" w:lineRule="exact"/>
        <w:rPr>
          <w:rFonts w:ascii="Symbol" w:cs="Symbol" w:eastAsia="Symbol" w:hAnsi="Symbol"/>
          <w:sz w:val="22"/>
          <w:szCs w:val="22"/>
          <w:color w:val="auto"/>
        </w:rPr>
      </w:pPr>
    </w:p>
    <w:p>
      <w:pPr xmlns:w="http://schemas.openxmlformats.org/wordprocessingml/2006/main">
        <w:ind w:left="240" w:right="200" w:hanging="230"/>
        <w:spacing w:after="0" w:line="217"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prijzen van onderliggende of gerelateerde belangen.</w:t>
      </w:r>
    </w:p>
    <w:p>
      <w:pPr>
        <w:spacing w:after="0" w:line="79" w:lineRule="exact"/>
        <w:rPr>
          <w:rFonts w:ascii="Symbol" w:cs="Symbol" w:eastAsia="Symbol" w:hAnsi="Symbol"/>
          <w:sz w:val="22"/>
          <w:szCs w:val="22"/>
          <w:color w:val="auto"/>
        </w:rPr>
      </w:pPr>
    </w:p>
    <w:p>
      <w:pPr xmlns:w="http://schemas.openxmlformats.org/wordprocessingml/2006/main">
        <w:ind w:left="240" w:right="300" w:hanging="230"/>
        <w:spacing w:after="0" w:line="205"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aandeleneffect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40" w:hanging="230"/>
        <w:spacing w:after="0"/>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6" w:lineRule="exact"/>
        <w:rPr>
          <w:rFonts w:ascii="Symbol" w:cs="Symbol" w:eastAsia="Symbol" w:hAnsi="Symbol"/>
          <w:sz w:val="22"/>
          <w:szCs w:val="22"/>
          <w:color w:val="auto"/>
        </w:rPr>
      </w:pPr>
    </w:p>
    <w:p>
      <w:pPr xmlns:w="http://schemas.openxmlformats.org/wordprocessingml/2006/main">
        <w:ind w:left="220" w:right="40" w:hanging="210"/>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108" w:lineRule="exact"/>
        <w:rPr>
          <w:sz w:val="20"/>
          <w:szCs w:val="20"/>
          <w:color w:val="auto"/>
        </w:rPr>
      </w:pPr>
    </w:p>
    <w:p>
      <w:pPr xmlns:w="http://schemas.openxmlformats.org/wordprocessingml/2006/main">
        <w:ind w:right="3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24130</wp:posOffset>
            </wp:positionH>
            <wp:positionV relativeFrom="paragraph">
              <wp:posOffset>14605</wp:posOffset>
            </wp:positionV>
            <wp:extent cx="6647815" cy="198882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647815" cy="1988820"/>
                    </a:xfrm>
                    <a:prstGeom prst="rect">
                      <a:avLst/>
                    </a:prstGeom>
                    <a:noFill/>
                  </pic:spPr>
                </pic:pic>
              </a:graphicData>
            </a:graphic>
          </wp:anchor>
        </w:drawing>
        <w:drawing>
          <wp:anchor simplePos="0" relativeHeight="251657728" behindDoc="1" locked="0" layoutInCell="0" allowOverlap="1">
            <wp:simplePos x="0" y="0"/>
            <wp:positionH relativeFrom="column">
              <wp:posOffset>24130</wp:posOffset>
            </wp:positionH>
            <wp:positionV relativeFrom="paragraph">
              <wp:posOffset>14605</wp:posOffset>
            </wp:positionV>
            <wp:extent cx="6647815" cy="198882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647815" cy="1988820"/>
                    </a:xfrm>
                    <a:prstGeom prst="rect">
                      <a:avLst/>
                    </a:prstGeom>
                    <a:noFill/>
                  </pic:spPr>
                </pic:pic>
              </a:graphicData>
            </a:graphic>
          </wp:anchor>
        </w:drawing>
      </w:r>
    </w:p>
    <w:p>
      <w:pPr>
        <w:sectPr>
          <w:pgSz w:w="12240" w:h="15840" w:orient="portrait"/>
          <w:cols w:equalWidth="0" w:num="1">
            <w:col w:w="10500"/>
          </w:cols>
          <w:pgMar w:left="1080" w:top="706" w:right="660" w:bottom="399" w:gutter="0" w:footer="0" w:header="0"/>
        </w:sectPr>
      </w:pPr>
    </w:p>
    <w:p>
      <w:pPr>
        <w:spacing w:after="0" w:line="177" w:lineRule="exact"/>
        <w:rPr>
          <w:sz w:val="20"/>
          <w:szCs w:val="20"/>
          <w:color w:val="auto"/>
        </w:rPr>
      </w:pPr>
    </w:p>
    <w:tbl>
      <w:tblPr>
        <w:tblLayout w:type="fixed"/>
        <w:tblInd w:w="440" w:type="dxa"/>
        <w:tblCellMar>
          <w:top w:w="0" w:type="dxa"/>
          <w:left w:w="0" w:type="dxa"/>
          <w:bottom w:w="0" w:type="dxa"/>
          <w:right w:w="0" w:type="dxa"/>
        </w:tblCellMar>
      </w:tblPr>
      <w:tr>
        <w:trPr>
          <w:trHeight w:val="195"/>
        </w:trPr>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3620" w:type="dxa"/>
            <w:vAlign w:val="bottom"/>
            <w:gridSpan w:val="4"/>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houden van een put (Premium $ 5; Oefenprijs $ 45)</w:t>
            </w:r>
          </w:p>
        </w:tc>
        <w:tc>
          <w:tcPr>
            <w:tcW w:w="5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7"/>
        </w:trPr>
        <w:tc>
          <w:tcPr>
            <w:tcW w:w="180" w:type="dxa"/>
            <w:vAlign w:val="bottom"/>
          </w:tcPr>
          <w:p>
            <w:pPr>
              <w:spacing w:after="0"/>
              <w:rPr>
                <w:sz w:val="24"/>
                <w:szCs w:val="24"/>
                <w:color w:val="auto"/>
              </w:rPr>
            </w:pPr>
          </w:p>
        </w:tc>
        <w:tc>
          <w:tcPr>
            <w:tcW w:w="780" w:type="dxa"/>
            <w:vAlign w:val="bottom"/>
          </w:tcPr>
          <w:p>
            <w:pPr xmlns:w="http://schemas.openxmlformats.org/wordprocessingml/2006/main">
              <w:jc w:val="right"/>
              <w:ind w:right="5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980" w:type="dxa"/>
            <w:vAlign w:val="bottom"/>
          </w:tcPr>
          <w:p>
            <w:pPr xmlns:w="http://schemas.openxmlformats.org/wordprocessingml/2006/main">
              <w:jc w:val="right"/>
              <w:ind w:right="195"/>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800" w:type="dxa"/>
            <w:vAlign w:val="bottom"/>
          </w:tcPr>
          <w:p>
            <w:pPr xmlns:w="http://schemas.openxmlformats.org/wordprocessingml/2006/main">
              <w:jc w:val="right"/>
              <w:ind w:right="175"/>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820" w:type="dxa"/>
            <w:vAlign w:val="bottom"/>
          </w:tcPr>
          <w:p>
            <w:pPr xmlns:w="http://schemas.openxmlformats.org/wordprocessingml/2006/main">
              <w:jc w:val="right"/>
              <w:ind w:right="190"/>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1020" w:type="dxa"/>
            <w:vAlign w:val="bottom"/>
          </w:tcPr>
          <w:p>
            <w:pPr xmlns:w="http://schemas.openxmlformats.org/wordprocessingml/2006/main">
              <w:jc w:val="right"/>
              <w:ind w:right="390"/>
              <w:spacing w:after="0"/>
              <w:rPr>
                <w:sz w:val="20"/>
                <w:szCs w:val="20"/>
                <w:color w:val="auto"/>
              </w:rPr>
            </w:pPr>
            <w:r>
              <w:rPr xmlns:w="http://schemas.openxmlformats.org/wordprocessingml/2006/main">
                <w:rFonts w:ascii="Calibri" w:cs="Calibri" w:eastAsia="Calibri" w:hAnsi="Calibri"/>
                <w:sz w:val="18"/>
                <w:szCs w:val="18"/>
                <w:color w:val="595959"/>
              </w:rPr>
              <w:t xml:space="preserve">$ 80</w:t>
            </w:r>
          </w:p>
        </w:tc>
        <w:tc>
          <w:tcPr>
            <w:tcW w:w="58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w w:val="93"/>
              </w:rPr>
              <w:t xml:space="preserve">$ 100</w:t>
            </w:r>
          </w:p>
        </w:tc>
        <w:tc>
          <w:tcPr>
            <w:tcW w:w="62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$ 120</w:t>
            </w:r>
          </w:p>
        </w:tc>
        <w:tc>
          <w:tcPr>
            <w:tcW w:w="0" w:type="dxa"/>
            <w:vAlign w:val="bottom"/>
          </w:tcPr>
          <w:p>
            <w:pPr>
              <w:spacing w:after="0"/>
              <w:rPr>
                <w:sz w:val="1"/>
                <w:szCs w:val="1"/>
                <w:color w:val="auto"/>
              </w:rPr>
            </w:pPr>
          </w:p>
        </w:tc>
      </w:tr>
      <w:tr>
        <w:trPr>
          <w:trHeight w:val="235"/>
        </w:trPr>
        <w:tc>
          <w:tcPr>
            <w:tcW w:w="180" w:type="dxa"/>
            <w:vAlign w:val="bottom"/>
          </w:tcPr>
          <w:p>
            <w:pPr>
              <w:spacing w:after="0"/>
              <w:rPr>
                <w:sz w:val="20"/>
                <w:szCs w:val="20"/>
                <w:color w:val="auto"/>
              </w:rPr>
            </w:pPr>
          </w:p>
        </w:tc>
        <w:tc>
          <w:tcPr>
            <w:tcW w:w="780" w:type="dxa"/>
            <w:vAlign w:val="bottom"/>
          </w:tcPr>
          <w:p>
            <w:pPr xmlns:w="http://schemas.openxmlformats.org/wordprocessingml/2006/main">
              <w:jc w:val="right"/>
              <w:ind w:right="310"/>
              <w:spacing w:after="0"/>
              <w:rPr>
                <w:sz w:val="20"/>
                <w:szCs w:val="20"/>
                <w:color w:val="auto"/>
              </w:rPr>
            </w:pPr>
            <w:r>
              <w:rPr xmlns:w="http://schemas.openxmlformats.org/wordprocessingml/2006/main">
                <w:rFonts w:ascii="Calibri" w:cs="Calibri" w:eastAsia="Calibri" w:hAnsi="Calibri"/>
                <w:sz w:val="18"/>
                <w:szCs w:val="18"/>
                <w:color w:val="595959"/>
              </w:rPr>
              <w:t xml:space="preserve">$ 30</w:t>
            </w:r>
          </w:p>
        </w:tc>
        <w:tc>
          <w:tcPr>
            <w:tcW w:w="9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34"/>
        </w:trPr>
        <w:tc>
          <w:tcPr>
            <w:tcW w:w="180" w:type="dxa"/>
            <w:vAlign w:val="bottom"/>
          </w:tcPr>
          <w:p>
            <w:pPr>
              <w:spacing w:after="0"/>
              <w:rPr>
                <w:sz w:val="24"/>
                <w:szCs w:val="24"/>
                <w:color w:val="auto"/>
              </w:rPr>
            </w:pPr>
          </w:p>
        </w:tc>
        <w:tc>
          <w:tcPr>
            <w:tcW w:w="780" w:type="dxa"/>
            <w:vAlign w:val="bottom"/>
          </w:tcPr>
          <w:p>
            <w:pPr xmlns:w="http://schemas.openxmlformats.org/wordprocessingml/2006/main">
              <w:jc w:val="right"/>
              <w:ind w:right="310"/>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9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780" w:type="dxa"/>
            <w:vAlign w:val="bottom"/>
          </w:tcPr>
          <w:p>
            <w:pPr xmlns:w="http://schemas.openxmlformats.org/wordprocessingml/2006/main">
              <w:jc w:val="right"/>
              <w:ind w:right="310"/>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tc>
        <w:tc>
          <w:tcPr>
            <w:tcW w:w="9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
        </w:trPr>
        <w:tc>
          <w:tcPr>
            <w:tcW w:w="18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980" w:type="dxa"/>
            <w:vAlign w:val="bottom"/>
          </w:tcPr>
          <w:p>
            <w:pPr>
              <w:spacing w:after="0"/>
              <w:rPr>
                <w:sz w:val="2"/>
                <w:szCs w:val="2"/>
                <w:color w:val="auto"/>
              </w:rPr>
            </w:pPr>
          </w:p>
        </w:tc>
        <w:tc>
          <w:tcPr>
            <w:tcW w:w="80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580" w:type="dxa"/>
            <w:vAlign w:val="bottom"/>
          </w:tcPr>
          <w:p>
            <w:pPr>
              <w:spacing w:after="0"/>
              <w:rPr>
                <w:sz w:val="2"/>
                <w:szCs w:val="2"/>
                <w:color w:val="auto"/>
              </w:rPr>
            </w:pPr>
          </w:p>
        </w:tc>
        <w:tc>
          <w:tcPr>
            <w:tcW w:w="6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306"/>
        </w:trPr>
        <w:tc>
          <w:tcPr>
            <w:tcW w:w="180" w:type="dxa"/>
            <w:vAlign w:val="bottom"/>
          </w:tcPr>
          <w:p>
            <w:pPr>
              <w:spacing w:after="0"/>
              <w:rPr>
                <w:sz w:val="24"/>
                <w:szCs w:val="24"/>
                <w:color w:val="auto"/>
              </w:rPr>
            </w:pPr>
          </w:p>
        </w:tc>
        <w:tc>
          <w:tcPr>
            <w:tcW w:w="780" w:type="dxa"/>
            <w:vAlign w:val="bottom"/>
          </w:tcPr>
          <w:p>
            <w:pPr xmlns:w="http://schemas.openxmlformats.org/wordprocessingml/2006/main">
              <w:jc w:val="right"/>
              <w:ind w:right="31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9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4"/>
        </w:trPr>
        <w:tc>
          <w:tcPr>
            <w:tcW w:w="180" w:type="dxa"/>
            <w:vAlign w:val="bottom"/>
          </w:tcPr>
          <w:p>
            <w:pPr>
              <w:spacing w:after="0"/>
              <w:rPr>
                <w:sz w:val="24"/>
                <w:szCs w:val="24"/>
                <w:color w:val="auto"/>
              </w:rPr>
            </w:pPr>
          </w:p>
        </w:tc>
        <w:tc>
          <w:tcPr>
            <w:tcW w:w="780" w:type="dxa"/>
            <w:vAlign w:val="bottom"/>
          </w:tcPr>
          <w:p>
            <w:pPr xmlns:w="http://schemas.openxmlformats.org/wordprocessingml/2006/main">
              <w:jc w:val="right"/>
              <w:ind w:right="310"/>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tc>
        <w:tc>
          <w:tcPr>
            <w:tcW w:w="980" w:type="dxa"/>
            <w:vAlign w:val="bottom"/>
          </w:tcPr>
          <w:p>
            <w:pPr>
              <w:spacing w:after="0"/>
              <w:rPr>
                <w:sz w:val="24"/>
                <w:szCs w:val="24"/>
                <w:color w:val="auto"/>
              </w:rPr>
            </w:pPr>
          </w:p>
        </w:tc>
        <w:tc>
          <w:tcPr>
            <w:tcW w:w="2640" w:type="dxa"/>
            <w:vAlign w:val="bottom"/>
            <w:gridSpan w:val="3"/>
            <w:vMerge w:val="restart"/>
          </w:tcPr>
          <w:p>
            <w:pPr xmlns:w="http://schemas.openxmlformats.org/wordprocessingml/2006/main">
              <w:jc w:val="center"/>
              <w:ind w:right="15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w:t>
            </w:r>
          </w:p>
        </w:tc>
        <w:tc>
          <w:tcPr>
            <w:tcW w:w="5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6"/>
        </w:trPr>
        <w:tc>
          <w:tcPr>
            <w:tcW w:w="1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2640" w:type="dxa"/>
            <w:vAlign w:val="bottom"/>
            <w:gridSpan w:val="3"/>
            <w:vMerge w:val="continue"/>
          </w:tcPr>
          <w:p>
            <w:pPr>
              <w:spacing w:after="0"/>
              <w:rPr>
                <w:sz w:val="10"/>
                <w:szCs w:val="10"/>
                <w:color w:val="auto"/>
              </w:rPr>
            </w:pPr>
          </w:p>
        </w:tc>
        <w:tc>
          <w:tcPr>
            <w:tcW w:w="58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onderliggende marktbeweging (</w:t>
      </w:r>
      <w:r>
        <w:rPr xmlns:w="http://schemas.openxmlformats.org/wordprocessingml/2006/main">
          <w:rFonts w:ascii="Calibri" w:cs="Calibri" w:eastAsia="Calibri" w:hAnsi="Calibri"/>
          <w:sz w:val="16"/>
          <w:szCs w:val="16"/>
          <w:u w:val="single" w:color="auto"/>
          <w:color w:val="FF0000"/>
        </w:rPr>
        <w:t xml:space="preserve">rood plotpunt</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$15</w:t>
      </w:r>
    </w:p>
    <w:p>
      <w:pPr>
        <w:spacing w:after="0" w:line="123" w:lineRule="exact"/>
        <w:rPr>
          <w:sz w:val="20"/>
          <w:szCs w:val="20"/>
          <w:color w:val="auto"/>
        </w:rPr>
      </w:pPr>
    </w:p>
    <w:p>
      <w:pPr xmlns:w="http://schemas.openxmlformats.org/wordprocessingml/2006/main">
        <w:ind w:left="300" w:hanging="153"/>
        <w:spacing w:after="0"/>
        <w:tabs>
          <w:tab w:leader="none" w:pos="30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$ 25</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+$ 25</w:t>
      </w:r>
    </w:p>
    <w:p>
      <w:pPr>
        <w:spacing w:after="0" w:line="10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Markt Onderliggende Verhuizing (</w:t>
      </w:r>
      <w:r>
        <w:rPr xmlns:w="http://schemas.openxmlformats.org/wordprocessingml/2006/main">
          <w:rFonts w:ascii="Calibri" w:cs="Calibri" w:eastAsia="Calibri" w:hAnsi="Calibri"/>
          <w:sz w:val="16"/>
          <w:szCs w:val="16"/>
          <w:u w:val="single" w:color="auto"/>
          <w:color w:val="00B050"/>
        </w:rPr>
        <w:t xml:space="preserve">Groen Perceel Punt</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$35</w:t>
      </w:r>
    </w:p>
    <w:p>
      <w:pPr>
        <w:spacing w:after="0" w:line="120" w:lineRule="exact"/>
        <w:rPr>
          <w:sz w:val="20"/>
          <w:szCs w:val="20"/>
          <w:color w:val="auto"/>
        </w:rPr>
      </w:pPr>
    </w:p>
    <w:p>
      <w:pPr xmlns:w="http://schemas.openxmlformats.org/wordprocessingml/2006/main">
        <w:ind w:left="300" w:hanging="153"/>
        <w:spacing w:after="0"/>
        <w:tabs>
          <w:tab w:leader="none" w:pos="30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w:t>
      </w:r>
    </w:p>
    <w:p>
      <w:pPr>
        <w:spacing w:after="0" w:line="156" w:lineRule="exact"/>
        <w:rPr>
          <w:sz w:val="20"/>
          <w:szCs w:val="20"/>
          <w:color w:val="auto"/>
        </w:rPr>
      </w:pPr>
    </w:p>
    <w:p>
      <w:pPr xmlns:w="http://schemas.openxmlformats.org/wordprocessingml/2006/main">
        <w:ind w:right="560"/>
        <w:spacing w:after="0" w:line="218"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minus de premie.</w:t>
      </w:r>
    </w:p>
    <w:p>
      <w:pPr>
        <w:spacing w:after="0" w:line="200" w:lineRule="exact"/>
        <w:rPr>
          <w:sz w:val="20"/>
          <w:szCs w:val="20"/>
          <w:color w:val="auto"/>
        </w:rPr>
      </w:pPr>
    </w:p>
    <w:p>
      <w:pPr>
        <w:sectPr>
          <w:pgSz w:w="12240" w:h="15840" w:orient="portrait"/>
          <w:cols w:equalWidth="0" w:num="2">
            <w:col w:w="6200" w:space="440"/>
            <w:col w:w="3860"/>
          </w:cols>
          <w:pgMar w:left="1080" w:top="706" w:right="660" w:bottom="399" w:gutter="0" w:footer="0" w:header="0"/>
          <w:type w:val="continuous"/>
        </w:sectPr>
      </w:pPr>
    </w:p>
    <w:p>
      <w:pPr>
        <w:spacing w:after="0" w:line="253" w:lineRule="exact"/>
        <w:rPr>
          <w:sz w:val="20"/>
          <w:szCs w:val="20"/>
          <w:color w:val="auto"/>
        </w:rPr>
      </w:pPr>
    </w:p>
    <w:p>
      <w:pPr xmlns:w="http://schemas.openxmlformats.org/wordprocessingml/2006/main">
        <w:ind w:right="2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20320</wp:posOffset>
                </wp:positionV>
                <wp:extent cx="681037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1037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6pt" to="531.1pt,1.6pt" o:allowincell="f" strokecolor="#000000" strokeweight="0.4799pt"/>
            </w:pict>
          </mc:Fallback>
        </mc:AlternateContent>
      </w:r>
    </w:p>
    <w:p>
      <w:pPr>
        <w:sectPr>
          <w:pgSz w:w="12240" w:h="15840" w:orient="portrait"/>
          <w:cols w:equalWidth="0" w:num="1">
            <w:col w:w="10500"/>
          </w:cols>
          <w:pgMar w:left="1080" w:top="706" w:right="660" w:bottom="399" w:gutter="0" w:footer="0" w:header="0"/>
          <w:type w:val="continuous"/>
        </w:sectPr>
      </w:pPr>
    </w:p>
    <w:bookmarkStart w:id="2" w:name="page3"/>
    <w:bookmarkEnd w:id="2"/>
    <w:p>
      <w:pPr xmlns:w="http://schemas.openxmlformats.org/wordprocessingml/2006/main">
        <w:spacing w:after="0" w:line="202" w:lineRule="auto"/>
        <w:framePr w:w="1360" w:h="134" w:wrap="auto" w:vAnchor="page" w:hAnchor="page" w:x="6440" w:y="9353"/>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Prestatievergoedingen</w:t>
      </w:r>
    </w:p>
    <w:p>
      <w:pPr xmlns:w="http://schemas.openxmlformats.org/wordprocessingml/2006/main">
        <w:spacing w:after="0" w:line="202" w:lineRule="auto"/>
        <w:framePr w:w="480" w:h="134" w:wrap="auto" w:vAnchor="page" w:hAnchor="page" w:x="7960" w:y="9353"/>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Geen</w:t>
      </w:r>
    </w:p>
    <w:p>
      <w:pPr xmlns:w="http://schemas.openxmlformats.org/wordprocessingml/2006/main">
        <w:spacing w:after="0" w:line="202" w:lineRule="auto"/>
        <w:framePr w:w="380" w:h="134" w:wrap="auto" w:vAnchor="page" w:hAnchor="page" w:x="10120" w:y="9353"/>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N.v.t.</w:t>
      </w:r>
    </w:p>
    <w:p>
      <w:pPr xmlns:w="http://schemas.openxmlformats.org/wordprocessingml/2006/main">
        <w:spacing w:after="0" w:line="202" w:lineRule="auto"/>
        <w:framePr w:w="3520" w:h="134" w:wrap="auto" w:vAnchor="page" w:hAnchor="page" w:x="6440" w:y="9046"/>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Incidentele kosten die onder specifieke voorwaarden worden gemaakt</w:t>
      </w:r>
    </w:p>
    <w:p>
      <w:pPr xmlns:w="http://schemas.openxmlformats.org/wordprocessingml/2006/main">
        <w:spacing w:after="0" w:line="202" w:lineRule="auto"/>
        <w:framePr w:w="1340" w:h="134" w:wrap="auto" w:vAnchor="page" w:hAnchor="page" w:x="6440" w:y="8739"/>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Transactiekosten</w:t>
      </w:r>
    </w:p>
    <w:p>
      <w:pPr xmlns:w="http://schemas.openxmlformats.org/wordprocessingml/2006/main">
        <w:spacing w:after="0" w:line="193" w:lineRule="auto"/>
        <w:framePr w:w="780" w:h="355" w:wrap="auto" w:vAnchor="page" w:hAnchor="page" w:x="10120" w:y="8518"/>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Variabele (lopend)</w:t>
      </w:r>
    </w:p>
    <w:p>
      <w:pPr xmlns:w="http://schemas.openxmlformats.org/wordprocessingml/2006/main">
        <w:spacing w:after="0" w:line="209" w:lineRule="auto"/>
        <w:framePr w:w="1980" w:h="575" w:wrap="auto" w:vAnchor="page" w:hAnchor="page" w:x="7960" w:y="8297"/>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Marge (vereisten zijn onderhevig aan verandering en kunnen variëren </w:t>
      </w:r>
      <w:r>
        <w:rPr xmlns:w="http://schemas.openxmlformats.org/wordprocessingml/2006/main">
          <w:rFonts w:ascii="Calibri" w:cs="Calibri" w:eastAsia="Calibri" w:hAnsi="Calibri"/>
          <w:sz w:val="18"/>
          <w:szCs w:val="18"/>
          <w:u w:val="single" w:color="auto"/>
          <w:color w:val="auto"/>
          <w:highlight w:val="lightGray"/>
        </w:rPr>
        <w:t xml:space="preserve">per makelaardij</w:t>
      </w:r>
      <w:r>
        <w:rPr xmlns:w="http://schemas.openxmlformats.org/wordprocessingml/2006/main">
          <w:rFonts w:ascii="Calibri" w:cs="Calibri" w:eastAsia="Calibri" w:hAnsi="Calibri"/>
          <w:sz w:val="18"/>
          <w:szCs w:val="18"/>
          <w:color w:val="auto"/>
          <w:highlight w:val="lightGray"/>
        </w:rPr>
        <w:t xml:space="preserve">)</w:t>
      </w:r>
    </w:p>
    <w:p>
      <w:pPr xmlns:w="http://schemas.openxmlformats.org/wordprocessingml/2006/main">
        <w:spacing w:after="0" w:line="202" w:lineRule="auto"/>
        <w:framePr w:w="380" w:h="134" w:wrap="auto" w:vAnchor="page" w:hAnchor="page" w:x="10120" w:y="8060"/>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N.v.t.</w:t>
      </w:r>
    </w:p>
    <w:p>
      <w:pPr xmlns:w="http://schemas.openxmlformats.org/wordprocessingml/2006/main">
        <w:spacing w:after="0" w:line="193" w:lineRule="auto"/>
        <w:framePr w:w="1900" w:h="355" w:wrap="auto" w:vAnchor="page" w:hAnchor="page" w:x="7960" w:y="7839"/>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color w:val="auto"/>
          <w:highlight w:val="lightGray"/>
        </w:rPr>
        <w:t xml:space="preserve">Er zijn geen </w:t>
      </w:r>
      <w:r>
        <w:rPr xmlns:w="http://schemas.openxmlformats.org/wordprocessingml/2006/main">
          <w:rFonts w:ascii="Calibri" w:cs="Calibri" w:eastAsia="Calibri" w:hAnsi="Calibri"/>
          <w:sz w:val="18"/>
          <w:szCs w:val="18"/>
          <w:u w:val="single" w:color="auto"/>
          <w:color w:val="auto"/>
          <w:highlight w:val="lightGray"/>
        </w:rPr>
        <w:t xml:space="preserve">beheerskosten</w:t>
      </w:r>
    </w:p>
    <w:p>
      <w:pPr xmlns:w="http://schemas.openxmlformats.org/wordprocessingml/2006/main">
        <w:spacing w:after="0" w:line="202" w:lineRule="auto"/>
        <w:framePr w:w="1120" w:h="134" w:wrap="auto" w:vAnchor="page" w:hAnchor="page" w:x="6440" w:y="7160"/>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Lopende kosten</w:t>
      </w:r>
    </w:p>
    <w:p>
      <w:pPr xmlns:w="http://schemas.openxmlformats.org/wordprocessingml/2006/main">
        <w:spacing w:after="0" w:line="229" w:lineRule="auto"/>
        <w:framePr w:w="1320" w:h="794" w:wrap="auto" w:vAnchor="page" w:hAnchor="page" w:x="6440" w:y="7400"/>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Beheerskosten en andere administratieve of exploitatiekosten</w:t>
      </w:r>
    </w:p>
    <w:p>
      <w:pPr xmlns:w="http://schemas.openxmlformats.org/wordprocessingml/2006/main">
        <w:spacing w:after="0" w:line="193" w:lineRule="auto"/>
        <w:framePr w:w="1220" w:h="355" w:wrap="auto" w:vAnchor="page" w:hAnchor="page" w:x="10120" w:y="6939"/>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Bedrag (op elk moment)</w:t>
      </w:r>
    </w:p>
    <w:p>
      <w:pPr xmlns:w="http://schemas.openxmlformats.org/wordprocessingml/2006/main">
        <w:spacing w:after="0" w:line="202" w:lineRule="auto"/>
        <w:framePr w:w="1720" w:h="134" w:wrap="auto" w:vAnchor="page" w:hAnchor="page" w:x="7960" w:y="6701"/>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Premie, Commissie</w:t>
      </w:r>
    </w:p>
    <w:p>
      <w:pPr xmlns:w="http://schemas.openxmlformats.org/wordprocessingml/2006/main">
        <w:spacing w:after="0" w:line="202" w:lineRule="auto"/>
        <w:framePr w:w="680" w:h="134" w:wrap="auto" w:vAnchor="page" w:hAnchor="page" w:x="10120" w:y="6701"/>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variabel</w:t>
      </w:r>
    </w:p>
    <w:p>
      <w:pPr xmlns:w="http://schemas.openxmlformats.org/wordprocessingml/2006/main">
        <w:spacing w:after="0" w:line="202" w:lineRule="auto"/>
        <w:framePr w:w="680" w:h="134" w:wrap="auto" w:vAnchor="page" w:hAnchor="page" w:x="10120" w:y="6022"/>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variabel</w:t>
      </w:r>
    </w:p>
    <w:p>
      <w:pPr xmlns:w="http://schemas.openxmlformats.org/wordprocessingml/2006/main">
        <w:spacing w:after="0" w:line="221" w:lineRule="auto"/>
        <w:framePr w:w="1260" w:h="575" w:wrap="auto" w:vAnchor="page" w:hAnchor="page" w:x="6440" w:y="5581"/>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Invoerkosten (per transactie - opening (vermelding))</w:t>
      </w:r>
    </w:p>
    <w:p>
      <w:pPr xmlns:w="http://schemas.openxmlformats.org/wordprocessingml/2006/main">
        <w:spacing w:after="0" w:line="221" w:lineRule="auto"/>
        <w:framePr w:w="1120" w:h="575" w:wrap="auto" w:vAnchor="page" w:hAnchor="page" w:x="6440" w:y="6260"/>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Exitkosten (per transactie - afsluiten (afsluiten))</w:t>
      </w:r>
    </w:p>
    <w:p>
      <w:pPr xmlns:w="http://schemas.openxmlformats.org/wordprocessingml/2006/main">
        <w:spacing w:after="0" w:line="229" w:lineRule="auto"/>
        <w:framePr w:w="1920" w:h="794" w:wrap="auto" w:vAnchor="page" w:hAnchor="page" w:x="7960" w:y="5362"/>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Premium (bepaald door koper en verkoper), Commissie (bepaald door makelaarskantoor)</w:t>
      </w:r>
    </w:p>
    <w:p>
      <w:pPr xmlns:w="http://schemas.openxmlformats.org/wordprocessingml/2006/main">
        <w:spacing w:after="0" w:line="202" w:lineRule="auto"/>
        <w:framePr w:w="1240" w:h="134" w:wrap="auto" w:vAnchor="page" w:hAnchor="page" w:x="10120" w:y="5122"/>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Bedrag (initieel)</w:t>
      </w:r>
    </w:p>
    <w:p>
      <w:pPr xmlns:w="http://schemas.openxmlformats.org/wordprocessingml/2006/main">
        <w:spacing w:after="0" w:line="202" w:lineRule="auto"/>
        <w:framePr w:w="2400" w:h="134" w:wrap="auto" w:vAnchor="page" w:hAnchor="page" w:x="6440" w:y="5122"/>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Eenmalige kosten bij binnenkomst of vertrek</w:t>
      </w:r>
    </w:p>
    <w:p>
      <w:pPr xmlns:w="http://schemas.openxmlformats.org/wordprocessingml/2006/main">
        <w:spacing w:after="0" w:line="189" w:lineRule="auto"/>
        <w:framePr w:w="1660" w:h="125" w:wrap="auto" w:vAnchor="page" w:hAnchor="page" w:x="6440" w:y="4862"/>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Samenstelling van de kosten</w:t>
      </w:r>
    </w:p>
    <w:p>
      <w:pPr xmlns:w="http://schemas.openxmlformats.org/wordprocessingml/2006/main">
        <w:spacing w:after="0" w:line="202" w:lineRule="auto"/>
        <w:framePr w:w="1500" w:h="134" w:wrap="auto" w:vAnchor="page" w:hAnchor="page" w:x="6440" w:y="4333"/>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jaarlijkse kostenimpact</w:t>
      </w:r>
    </w:p>
    <w:p>
      <w:pPr xmlns:w="http://schemas.openxmlformats.org/wordprocessingml/2006/main">
        <w:spacing w:after="0" w:line="202" w:lineRule="auto"/>
        <w:framePr w:w="640" w:h="134" w:wrap="auto" w:vAnchor="page" w:hAnchor="page" w:x="10120" w:y="4333"/>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Diverse</w:t>
      </w:r>
    </w:p>
    <w:p>
      <w:pPr xmlns:w="http://schemas.openxmlformats.org/wordprocessingml/2006/main">
        <w:spacing w:after="0" w:line="202" w:lineRule="auto"/>
        <w:framePr w:w="880" w:h="134" w:wrap="auto" w:vAnchor="page" w:hAnchor="page" w:x="6440" w:y="4061"/>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Totale kosten</w:t>
      </w:r>
    </w:p>
    <w:p>
      <w:pPr xmlns:w="http://schemas.openxmlformats.org/wordprocessingml/2006/main">
        <w:spacing w:after="0" w:line="202" w:lineRule="auto"/>
        <w:framePr w:w="640" w:h="134" w:wrap="auto" w:vAnchor="page" w:hAnchor="page" w:x="10120" w:y="4061"/>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Diverse</w:t>
      </w:r>
    </w:p>
    <w:p>
      <w:pPr xmlns:w="http://schemas.openxmlformats.org/wordprocessingml/2006/main">
        <w:spacing w:after="0" w:line="189" w:lineRule="auto"/>
        <w:framePr w:w="1280" w:h="125" w:wrap="auto" w:vAnchor="page" w:hAnchor="page" w:x="6440" w:y="3801"/>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Kosten in de tijd</w:t>
      </w:r>
    </w:p>
    <w:p>
      <w:pPr xmlns:w="http://schemas.openxmlformats.org/wordprocessingml/2006/main">
        <w:spacing w:after="0" w:line="202" w:lineRule="auto"/>
        <w:framePr w:w="800" w:h="134" w:wrap="auto" w:vAnchor="page" w:hAnchor="page" w:x="10120" w:y="3793"/>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Als u afsluit</w:t>
      </w:r>
    </w:p>
    <w:p>
      <w:pPr xmlns:w="http://schemas.openxmlformats.org/wordprocessingml/2006/main">
        <w:ind w:left="220" w:right="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1101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5.1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807085</wp:posOffset>
                </wp:positionV>
                <wp:extent cx="681101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3.55pt" to="585.1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4047490</wp:posOffset>
                </wp:positionH>
                <wp:positionV relativeFrom="page">
                  <wp:posOffset>2365375</wp:posOffset>
                </wp:positionV>
                <wp:extent cx="2330450" cy="158115"/>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330450" cy="158115"/>
                        </a:xfrm>
                        <a:prstGeom prst="rect">
                          <a:avLst/>
                        </a:prstGeom>
                        <a:solidFill>
                          <a:srgbClr val="DADADA"/>
                        </a:solidFill>
                      </wps:spPr>
                      <wps:bodyPr/>
                    </wps:wsp>
                  </a:graphicData>
                </a:graphic>
              </wp:anchor>
            </w:drawing>
          </mc:Choice>
          <mc:Fallback>
            <w:pict>
              <v:rect xmlns:v="urn:schemas-microsoft-com:vml" id="Shape 23" o:spid="_x0000_s1048" style="position:absolute;margin-left:318.7pt;margin-top:186.25pt;width:183.5pt;height:12.4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4109720</wp:posOffset>
                </wp:positionH>
                <wp:positionV relativeFrom="page">
                  <wp:posOffset>2383155</wp:posOffset>
                </wp:positionV>
                <wp:extent cx="2205355" cy="140335"/>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205355" cy="140335"/>
                        </a:xfrm>
                        <a:prstGeom prst="rect">
                          <a:avLst/>
                        </a:prstGeom>
                        <a:solidFill>
                          <a:srgbClr val="DADADA"/>
                        </a:solidFill>
                      </wps:spPr>
                      <wps:bodyPr/>
                    </wps:wsp>
                  </a:graphicData>
                </a:graphic>
              </wp:anchor>
            </w:drawing>
          </mc:Choice>
          <mc:Fallback>
            <w:pict>
              <v:rect xmlns:v="urn:schemas-microsoft-com:vml" id="Shape 24" o:spid="_x0000_s1049" style="position:absolute;margin-left:323.6pt;margin-top:187.65pt;width:173.65pt;height:11.0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6384290</wp:posOffset>
                </wp:positionH>
                <wp:positionV relativeFrom="page">
                  <wp:posOffset>2365375</wp:posOffset>
                </wp:positionV>
                <wp:extent cx="958215" cy="158115"/>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958215" cy="158115"/>
                        </a:xfrm>
                        <a:prstGeom prst="rect">
                          <a:avLst/>
                        </a:prstGeom>
                        <a:solidFill>
                          <a:srgbClr val="DADADA"/>
                        </a:solidFill>
                      </wps:spPr>
                      <wps:bodyPr/>
                    </wps:wsp>
                  </a:graphicData>
                </a:graphic>
              </wp:anchor>
            </w:drawing>
          </mc:Choice>
          <mc:Fallback>
            <w:pict>
              <v:rect xmlns:v="urn:schemas-microsoft-com:vml" id="Shape 25" o:spid="_x0000_s1050" style="position:absolute;margin-left:502.7pt;margin-top:186.25pt;width:75.45pt;height:12.4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6452235</wp:posOffset>
                </wp:positionH>
                <wp:positionV relativeFrom="page">
                  <wp:posOffset>2383155</wp:posOffset>
                </wp:positionV>
                <wp:extent cx="827405" cy="140335"/>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827405" cy="140335"/>
                        </a:xfrm>
                        <a:prstGeom prst="rect">
                          <a:avLst/>
                        </a:prstGeom>
                        <a:solidFill>
                          <a:srgbClr val="DADADA"/>
                        </a:solidFill>
                      </wps:spPr>
                      <wps:bodyPr/>
                    </wps:wsp>
                  </a:graphicData>
                </a:graphic>
              </wp:anchor>
            </w:drawing>
          </mc:Choice>
          <mc:Fallback>
            <w:pict>
              <v:rect xmlns:v="urn:schemas-microsoft-com:vml" id="Shape 26" o:spid="_x0000_s1051" style="position:absolute;margin-left:508.05pt;margin-top:187.65pt;width:65.15pt;height:11.0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4033520</wp:posOffset>
                </wp:positionH>
                <wp:positionV relativeFrom="page">
                  <wp:posOffset>2357120</wp:posOffset>
                </wp:positionV>
                <wp:extent cx="332105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6pt,185.6pt" to="579.1pt,185.6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4033520</wp:posOffset>
                </wp:positionH>
                <wp:positionV relativeFrom="page">
                  <wp:posOffset>2529205</wp:posOffset>
                </wp:positionV>
                <wp:extent cx="332105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6pt,199.15pt" to="579.1pt,199.1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4033520</wp:posOffset>
                </wp:positionH>
                <wp:positionV relativeFrom="page">
                  <wp:posOffset>2700020</wp:posOffset>
                </wp:positionV>
                <wp:extent cx="332105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6pt,212.6pt" to="579.1pt,212.6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6383655</wp:posOffset>
                </wp:positionH>
                <wp:positionV relativeFrom="page">
                  <wp:posOffset>2345055</wp:posOffset>
                </wp:positionV>
                <wp:extent cx="0" cy="527685"/>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685"/>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02.65pt,184.65pt" to="502.65pt,226.2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7348220</wp:posOffset>
                </wp:positionH>
                <wp:positionV relativeFrom="page">
                  <wp:posOffset>2345055</wp:posOffset>
                </wp:positionV>
                <wp:extent cx="0" cy="527685"/>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685"/>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8.6pt,184.65pt" to="578.6pt,226.2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4039870</wp:posOffset>
                </wp:positionH>
                <wp:positionV relativeFrom="page">
                  <wp:posOffset>2345055</wp:posOffset>
                </wp:positionV>
                <wp:extent cx="0" cy="527685"/>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685"/>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8.1pt,184.65pt" to="318.1pt,226.2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2348230</wp:posOffset>
                </wp:positionV>
                <wp:extent cx="681101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184.9pt" to="585.1pt,184.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6447790</wp:posOffset>
                </wp:positionV>
                <wp:extent cx="6811010" cy="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507.7pt" to="585.1pt,507.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7988300</wp:posOffset>
                </wp:positionV>
                <wp:extent cx="6811010" cy="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29pt" to="585.1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905875"/>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058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37.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7427595</wp:posOffset>
                </wp:positionH>
                <wp:positionV relativeFrom="page">
                  <wp:posOffset>457200</wp:posOffset>
                </wp:positionV>
                <wp:extent cx="0" cy="8905875"/>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058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7" o:spid="_x0000_s106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4.85pt,36pt" to="584.85pt,737.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U betaalt aan uw adviseur of distributeur en houdt geen rekening met uw persoonlijke belastingsituatie, die ook van invloed kan zijn op hoeveel u ontvangt.</w:t>
      </w:r>
    </w:p>
    <w:p>
      <w:pPr>
        <w:spacing w:after="0" w:line="7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line="233"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8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u adviseert over of verkoopt dit product kan u andere kosten in rekening brengen.</w:t>
      </w:r>
      <w:r>
        <w:rPr xmlns:w="http://schemas.openxmlformats.org/wordprocessingml/2006/main">
          <w:rFonts w:ascii="Calibri" w:cs="Calibri" w:eastAsia="Calibri" w:hAnsi="Calibri"/>
          <w:sz w:val="22"/>
          <w:szCs w:val="22"/>
          <w:color w:val="auto"/>
        </w:rPr>
        <w:t xml:space="preserve"> Zo ja, dan is dit</w:t>
      </w:r>
    </w:p>
    <w:p>
      <w:pPr>
        <w:spacing w:after="0" w:line="6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64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Deze persoon zal u informatie verstrekken over deze kosten en hoe deze uw investering beïnvloeden.</w:t>
      </w:r>
      <w:r>
        <w:rPr xmlns:w="http://schemas.openxmlformats.org/wordprocessingml/2006/main">
          <w:rFonts w:ascii="Calibri" w:cs="Calibri" w:eastAsia="Calibri" w:hAnsi="Calibri"/>
          <w:sz w:val="22"/>
          <w:szCs w:val="22"/>
          <w:color w:val="auto"/>
        </w:rPr>
        <w:t xml:space="preserve"> samenvoegen</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3487420</wp:posOffset>
                </wp:positionH>
                <wp:positionV relativeFrom="paragraph">
                  <wp:posOffset>-149860</wp:posOffset>
                </wp:positionV>
                <wp:extent cx="3321050" cy="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8" o:spid="_x0000_s106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4.6pt,-11.7999pt" to="536.1pt,-11.7999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3501390</wp:posOffset>
                </wp:positionH>
                <wp:positionV relativeFrom="paragraph">
                  <wp:posOffset>17780</wp:posOffset>
                </wp:positionV>
                <wp:extent cx="3295015" cy="16002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95015" cy="160020"/>
                        </a:xfrm>
                        <a:prstGeom prst="rect">
                          <a:avLst/>
                        </a:prstGeom>
                        <a:solidFill>
                          <a:srgbClr val="DADADA"/>
                        </a:solidFill>
                      </wps:spPr>
                      <wps:bodyPr/>
                    </wps:wsp>
                  </a:graphicData>
                </a:graphic>
              </wp:anchor>
            </w:drawing>
          </mc:Choice>
          <mc:Fallback>
            <w:pict>
              <v:rect id="Shape 39" o:spid="_x0000_s1064" style="position:absolute;margin-left:275.7pt;margin-top:1.4pt;width:259.45pt;height:12.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3563620</wp:posOffset>
                </wp:positionH>
                <wp:positionV relativeFrom="paragraph">
                  <wp:posOffset>36830</wp:posOffset>
                </wp:positionV>
                <wp:extent cx="3169920" cy="140335"/>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69920" cy="140335"/>
                        </a:xfrm>
                        <a:prstGeom prst="rect">
                          <a:avLst/>
                        </a:prstGeom>
                        <a:solidFill>
                          <a:srgbClr val="DADADA"/>
                        </a:solidFill>
                      </wps:spPr>
                      <wps:bodyPr/>
                    </wps:wsp>
                  </a:graphicData>
                </a:graphic>
              </wp:anchor>
            </w:drawing>
          </mc:Choice>
          <mc:Fallback>
            <w:pict>
              <v:rect id="Shape 40" o:spid="_x0000_s1065" style="position:absolute;margin-left:280.6pt;margin-top:2.9pt;width:249.6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3487420</wp:posOffset>
                </wp:positionH>
                <wp:positionV relativeFrom="paragraph">
                  <wp:posOffset>13970</wp:posOffset>
                </wp:positionV>
                <wp:extent cx="3321050" cy="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1" o:spid="_x0000_s106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4.6pt,1.1pt" to="536.1pt,1.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3487420</wp:posOffset>
                </wp:positionH>
                <wp:positionV relativeFrom="paragraph">
                  <wp:posOffset>183515</wp:posOffset>
                </wp:positionV>
                <wp:extent cx="3321050" cy="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2" o:spid="_x0000_s106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4.6pt,14.45pt" to="536.1pt,14.4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3487420</wp:posOffset>
                </wp:positionH>
                <wp:positionV relativeFrom="paragraph">
                  <wp:posOffset>354330</wp:posOffset>
                </wp:positionV>
                <wp:extent cx="3321050" cy="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4.6pt,27.9pt" to="536.1pt,27.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3487420</wp:posOffset>
                </wp:positionH>
                <wp:positionV relativeFrom="paragraph">
                  <wp:posOffset>925830</wp:posOffset>
                </wp:positionV>
                <wp:extent cx="3321050" cy="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4.6pt,72.9pt" to="536.1pt,72.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4465955</wp:posOffset>
                </wp:positionH>
                <wp:positionV relativeFrom="paragraph">
                  <wp:posOffset>347980</wp:posOffset>
                </wp:positionV>
                <wp:extent cx="0" cy="101473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473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1.65pt,27.4pt" to="351.65pt,107.3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3487420</wp:posOffset>
                </wp:positionH>
                <wp:positionV relativeFrom="paragraph">
                  <wp:posOffset>1356995</wp:posOffset>
                </wp:positionV>
                <wp:extent cx="3321050" cy="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4.6pt,106.85pt" to="536.1pt,106.8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3487420</wp:posOffset>
                </wp:positionH>
                <wp:positionV relativeFrom="paragraph">
                  <wp:posOffset>1647825</wp:posOffset>
                </wp:positionV>
                <wp:extent cx="3321050" cy="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4.6pt,129.75pt" to="536.1pt,129.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3487420</wp:posOffset>
                </wp:positionH>
                <wp:positionV relativeFrom="paragraph">
                  <wp:posOffset>2219325</wp:posOffset>
                </wp:positionV>
                <wp:extent cx="3321050" cy="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4.6pt,174.75pt" to="536.1pt,174.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4465955</wp:posOffset>
                </wp:positionH>
                <wp:positionV relativeFrom="paragraph">
                  <wp:posOffset>1642110</wp:posOffset>
                </wp:positionV>
                <wp:extent cx="0" cy="101473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473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1.65pt,129.3pt" to="351.65pt,209.2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3487420</wp:posOffset>
                </wp:positionH>
                <wp:positionV relativeFrom="paragraph">
                  <wp:posOffset>2650490</wp:posOffset>
                </wp:positionV>
                <wp:extent cx="3321050" cy="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4.6pt,208.7pt" to="536.1pt,208.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3487420</wp:posOffset>
                </wp:positionH>
                <wp:positionV relativeFrom="paragraph">
                  <wp:posOffset>2846070</wp:posOffset>
                </wp:positionV>
                <wp:extent cx="3321050" cy="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4.6pt,224.1pt" to="536.1pt,224.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3493770</wp:posOffset>
                </wp:positionH>
                <wp:positionV relativeFrom="paragraph">
                  <wp:posOffset>11430</wp:posOffset>
                </wp:positionV>
                <wp:extent cx="0" cy="3037205"/>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720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5.1pt,0.9pt" to="275.1pt,240.0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6802120</wp:posOffset>
                </wp:positionH>
                <wp:positionV relativeFrom="paragraph">
                  <wp:posOffset>11430</wp:posOffset>
                </wp:positionV>
                <wp:extent cx="0" cy="3037205"/>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7205"/>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3" o:spid="_x0000_s107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5.6pt,0.9pt" to="535.6pt,240.05pt" o:allowincell="f" strokecolor="#000000" strokeweight="0.96pt"/>
            </w:pict>
          </mc:Fallback>
        </mc:AlternateContent>
      </w:r>
    </w:p>
    <w:p>
      <w:pPr>
        <w:spacing w:after="0" w:line="4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kosten voor gestandaardiseerde aandelenopties zijn afhankelijk van meerdere factoren.</w:t>
      </w:r>
      <w:r>
        <w:rPr xmlns:w="http://schemas.openxmlformats.org/wordprocessingml/2006/main">
          <w:rFonts w:ascii="Calibri" w:cs="Calibri" w:eastAsia="Calibri" w:hAnsi="Calibri"/>
          <w:sz w:val="22"/>
          <w:szCs w:val="22"/>
          <w:color w:val="auto"/>
        </w:rPr>
        <w:t xml:space="preserve"> Een optiepremie is de prijs die de houder betaalt aan de schrijver.</w:t>
      </w:r>
      <w:r>
        <w:rPr xmlns:w="http://schemas.openxmlformats.org/wordprocessingml/2006/main">
          <w:rFonts w:ascii="Calibri" w:cs="Calibri" w:eastAsia="Calibri" w:hAnsi="Calibri"/>
          <w:sz w:val="22"/>
          <w:szCs w:val="22"/>
          <w:color w:val="auto"/>
        </w:rPr>
        <w:t xml:space="preserve"> Factoren die een significant effect hebben op de premie omvatten, maar zijn niet beperkt tot, de onderliggende waarde van het eigen vermogen, de tijd tot het verstrijken van de optie en de uitoefenprijs.</w:t>
      </w:r>
      <w:r>
        <w:rPr xmlns:w="http://schemas.openxmlformats.org/wordprocessingml/2006/main">
          <w:rFonts w:ascii="Calibri" w:cs="Calibri" w:eastAsia="Calibri" w:hAnsi="Calibri"/>
          <w:sz w:val="22"/>
          <w:szCs w:val="22"/>
          <w:color w:val="auto"/>
        </w:rPr>
        <w:t xml:space="preserve"> Beleggingsopties omvatten extra kosten die fiscale overwegingen, transactiekosten en margevereisten omvatten die de winst of het verlies aanzienlijk kunnen beïnvloeden.</w:t>
      </w:r>
      <w:r>
        <w:rPr xmlns:w="http://schemas.openxmlformats.org/wordprocessingml/2006/main">
          <w:rFonts w:ascii="Calibri" w:cs="Calibri" w:eastAsia="Calibri" w:hAnsi="Calibri"/>
          <w:sz w:val="22"/>
          <w:szCs w:val="22"/>
          <w:color w:val="auto"/>
        </w:rPr>
        <w:t xml:space="preserve"> Transactiekosten</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3501390</wp:posOffset>
                </wp:positionH>
                <wp:positionV relativeFrom="paragraph">
                  <wp:posOffset>-1342390</wp:posOffset>
                </wp:positionV>
                <wp:extent cx="2330450" cy="158115"/>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30450" cy="158115"/>
                        </a:xfrm>
                        <a:prstGeom prst="rect">
                          <a:avLst/>
                        </a:prstGeom>
                        <a:solidFill>
                          <a:srgbClr val="DADADA"/>
                        </a:solidFill>
                      </wps:spPr>
                      <wps:bodyPr/>
                    </wps:wsp>
                  </a:graphicData>
                </a:graphic>
              </wp:anchor>
            </w:drawing>
          </mc:Choice>
          <mc:Fallback>
            <w:pict>
              <v:rect id="Shape 54" o:spid="_x0000_s1079" style="position:absolute;margin-left:275.7pt;margin-top:-105.6999pt;width:183.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3563620</wp:posOffset>
                </wp:positionH>
                <wp:positionV relativeFrom="paragraph">
                  <wp:posOffset>-1324610</wp:posOffset>
                </wp:positionV>
                <wp:extent cx="2205355" cy="140335"/>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40335"/>
                        </a:xfrm>
                        <a:prstGeom prst="rect">
                          <a:avLst/>
                        </a:prstGeom>
                        <a:solidFill>
                          <a:srgbClr val="DADADA"/>
                        </a:solidFill>
                      </wps:spPr>
                      <wps:bodyPr/>
                    </wps:wsp>
                  </a:graphicData>
                </a:graphic>
              </wp:anchor>
            </w:drawing>
          </mc:Choice>
          <mc:Fallback>
            <w:pict>
              <v:rect id="Shape 55" o:spid="_x0000_s1080" style="position:absolute;margin-left:280.6pt;margin-top:-104.2999pt;width:173.6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5838190</wp:posOffset>
                </wp:positionH>
                <wp:positionV relativeFrom="paragraph">
                  <wp:posOffset>-1342390</wp:posOffset>
                </wp:positionV>
                <wp:extent cx="958215" cy="158115"/>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215" cy="158115"/>
                        </a:xfrm>
                        <a:prstGeom prst="rect">
                          <a:avLst/>
                        </a:prstGeom>
                        <a:solidFill>
                          <a:srgbClr val="DADADA"/>
                        </a:solidFill>
                      </wps:spPr>
                      <wps:bodyPr/>
                    </wps:wsp>
                  </a:graphicData>
                </a:graphic>
              </wp:anchor>
            </w:drawing>
          </mc:Choice>
          <mc:Fallback>
            <w:pict>
              <v:rect id="Shape 56" o:spid="_x0000_s1081" style="position:absolute;margin-left:459.7pt;margin-top:-105.6999pt;width:75.4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5906135</wp:posOffset>
                </wp:positionH>
                <wp:positionV relativeFrom="paragraph">
                  <wp:posOffset>-1324610</wp:posOffset>
                </wp:positionV>
                <wp:extent cx="827405" cy="140335"/>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7405" cy="140335"/>
                        </a:xfrm>
                        <a:prstGeom prst="rect">
                          <a:avLst/>
                        </a:prstGeom>
                        <a:solidFill>
                          <a:srgbClr val="DADADA"/>
                        </a:solidFill>
                      </wps:spPr>
                      <wps:bodyPr/>
                    </wps:wsp>
                  </a:graphicData>
                </a:graphic>
              </wp:anchor>
            </w:drawing>
          </mc:Choice>
          <mc:Fallback>
            <w:pict>
              <v:rect id="Shape 57" o:spid="_x0000_s1082" style="position:absolute;margin-left:465.05pt;margin-top:-104.2999pt;width:65.1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3501390</wp:posOffset>
                </wp:positionH>
                <wp:positionV relativeFrom="paragraph">
                  <wp:posOffset>-168910</wp:posOffset>
                </wp:positionV>
                <wp:extent cx="2330450" cy="27813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30450" cy="278130"/>
                        </a:xfrm>
                        <a:prstGeom prst="rect">
                          <a:avLst/>
                        </a:prstGeom>
                        <a:solidFill>
                          <a:srgbClr val="DADADA"/>
                        </a:solidFill>
                      </wps:spPr>
                      <wps:bodyPr/>
                    </wps:wsp>
                  </a:graphicData>
                </a:graphic>
              </wp:anchor>
            </w:drawing>
          </mc:Choice>
          <mc:Fallback>
            <w:pict>
              <v:rect id="Shape 58" o:spid="_x0000_s1083" style="position:absolute;margin-left:275.7pt;margin-top:-13.2999pt;width:183.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3563620</wp:posOffset>
                </wp:positionH>
                <wp:positionV relativeFrom="paragraph">
                  <wp:posOffset>-21590</wp:posOffset>
                </wp:positionV>
                <wp:extent cx="2205355" cy="130175"/>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30175"/>
                        </a:xfrm>
                        <a:prstGeom prst="rect">
                          <a:avLst/>
                        </a:prstGeom>
                        <a:solidFill>
                          <a:srgbClr val="DADADA"/>
                        </a:solidFill>
                      </wps:spPr>
                      <wps:bodyPr/>
                    </wps:wsp>
                  </a:graphicData>
                </a:graphic>
              </wp:anchor>
            </w:drawing>
          </mc:Choice>
          <mc:Fallback>
            <w:pict>
              <v:rect id="Shape 59" o:spid="_x0000_s1084" style="position:absolute;margin-left:280.6pt;margin-top:-1.6999pt;width:173.65pt;height:10.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5838190</wp:posOffset>
                </wp:positionH>
                <wp:positionV relativeFrom="paragraph">
                  <wp:posOffset>-168910</wp:posOffset>
                </wp:positionV>
                <wp:extent cx="958215" cy="27813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215" cy="278130"/>
                        </a:xfrm>
                        <a:prstGeom prst="rect">
                          <a:avLst/>
                        </a:prstGeom>
                        <a:solidFill>
                          <a:srgbClr val="DADADA"/>
                        </a:solidFill>
                      </wps:spPr>
                      <wps:bodyPr/>
                    </wps:wsp>
                  </a:graphicData>
                </a:graphic>
              </wp:anchor>
            </w:drawing>
          </mc:Choice>
          <mc:Fallback>
            <w:pict>
              <v:rect id="Shape 60" o:spid="_x0000_s1085" style="position:absolute;margin-left:459.7pt;margin-top:-13.2999pt;width:75.4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5838190</wp:posOffset>
                </wp:positionH>
                <wp:positionV relativeFrom="paragraph">
                  <wp:posOffset>1123950</wp:posOffset>
                </wp:positionV>
                <wp:extent cx="958215" cy="18288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215" cy="182880"/>
                        </a:xfrm>
                        <a:prstGeom prst="rect">
                          <a:avLst/>
                        </a:prstGeom>
                        <a:solidFill>
                          <a:srgbClr val="DADADA"/>
                        </a:solidFill>
                      </wps:spPr>
                      <wps:bodyPr/>
                    </wps:wsp>
                  </a:graphicData>
                </a:graphic>
              </wp:anchor>
            </w:drawing>
          </mc:Choice>
          <mc:Fallback>
            <w:pict>
              <v:rect id="Shape 61" o:spid="_x0000_s1086" style="position:absolute;margin-left:459.7pt;margin-top:88.5pt;width:75.4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5906135</wp:posOffset>
                </wp:positionH>
                <wp:positionV relativeFrom="paragraph">
                  <wp:posOffset>1170940</wp:posOffset>
                </wp:positionV>
                <wp:extent cx="827405" cy="13589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7405" cy="135890"/>
                        </a:xfrm>
                        <a:prstGeom prst="rect">
                          <a:avLst/>
                        </a:prstGeom>
                        <a:solidFill>
                          <a:srgbClr val="DADADA"/>
                        </a:solidFill>
                      </wps:spPr>
                      <wps:bodyPr/>
                    </wps:wsp>
                  </a:graphicData>
                </a:graphic>
              </wp:anchor>
            </w:drawing>
          </mc:Choice>
          <mc:Fallback>
            <w:pict>
              <v:rect id="Shape 62" o:spid="_x0000_s1087" style="position:absolute;margin-left:465.05pt;margin-top:92.2pt;width:65.15pt;height:10.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5837555</wp:posOffset>
                </wp:positionH>
                <wp:positionV relativeFrom="paragraph">
                  <wp:posOffset>-1355090</wp:posOffset>
                </wp:positionV>
                <wp:extent cx="0" cy="2870835"/>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87083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3" o:spid="_x0000_s108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59.65pt,-106.6999pt" to="459.65pt,119.35pt" o:allowincell="f" strokecolor="#000000" strokeweight="0.9599pt"/>
            </w:pict>
          </mc:Fallback>
        </mc:AlternateContent>
      </w:r>
    </w:p>
    <w:p>
      <w:pPr>
        <w:spacing w:after="0" w:line="5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6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bestaan voornamelijk uit commissies (die worden opgelegd bij de opening, afsluiting, uitoefening en cessie), maar kunnen ook marge- en rentekosten omvatten.</w:t>
      </w:r>
      <w:r>
        <w:rPr xmlns:w="http://schemas.openxmlformats.org/wordprocessingml/2006/main">
          <w:rFonts w:ascii="Calibri" w:cs="Calibri" w:eastAsia="Calibri" w:hAnsi="Calibri"/>
          <w:sz w:val="22"/>
          <w:szCs w:val="22"/>
          <w:color w:val="auto"/>
        </w:rPr>
        <w:t xml:space="preserve"> Marge: de activa die door een schrijver bij zijn makelaarskantoor moeten worden gedeponeerd als onderpand voor de verplichting, naargelang het geval, om de onderliggende rente te kopen of te verkopen of het bedrag van de afwikkeling in contanten te betalen.</w:t>
      </w:r>
      <w:r>
        <w:rPr xmlns:w="http://schemas.openxmlformats.org/wordprocessingml/2006/main">
          <w:rFonts w:ascii="Calibri" w:cs="Calibri" w:eastAsia="Calibri" w:hAnsi="Calibri"/>
          <w:sz w:val="22"/>
          <w:szCs w:val="22"/>
          <w:color w:val="auto"/>
        </w:rPr>
        <w:t xml:space="preserve"> Als een optie wordt uitgeoefend en toegewezen, kan een schrijver extra kosten oplopen</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4465955</wp:posOffset>
                </wp:positionH>
                <wp:positionV relativeFrom="paragraph">
                  <wp:posOffset>-55880</wp:posOffset>
                </wp:positionV>
                <wp:extent cx="0" cy="20828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828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4" o:spid="_x0000_s108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1.65pt,-4.3999pt" to="351.65pt,12pt" o:allowincell="f" strokecolor="#000000" strokeweight="0.9599pt"/>
            </w:pict>
          </mc:Fallback>
        </mc:AlternateConten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kosten.</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3487420</wp:posOffset>
                </wp:positionH>
                <wp:positionV relativeFrom="paragraph">
                  <wp:posOffset>-26670</wp:posOffset>
                </wp:positionV>
                <wp:extent cx="3321050" cy="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5" o:spid="_x0000_s109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4.6pt,-2.0999pt" to="536.1pt,-2.0999pt" o:allowincell="f" strokecolor="#000000" strokeweight="0.9599pt"/>
            </w:pict>
          </mc:Fallback>
        </mc:AlternateContent>
      </w:r>
    </w:p>
    <w:p>
      <w:pPr>
        <w:spacing w:after="0" w:line="4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verloopt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zijn beleggers als enige verantwoordelijk voor het bepalen of en wanneer zij hun optiecontract(en) moeten uitoefenen of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14"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p>
    <w:p>
      <w:pPr>
        <w:spacing w:after="0" w:line="6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3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of de SEC</w:t>
      </w:r>
    </w:p>
    <w:tbl>
      <w:tblPr>
        <w:tblLayout w:type="fixed"/>
        <w:tblInd w:w="220" w:type="dxa"/>
        <w:tblCellMar>
          <w:top w:w="0" w:type="dxa"/>
          <w:left w:w="0" w:type="dxa"/>
          <w:bottom w:w="0" w:type="dxa"/>
          <w:right w:w="0" w:type="dxa"/>
        </w:tblCellMar>
      </w:tblPr>
      <w:tr>
        <w:trPr>
          <w:trHeight w:val="256"/>
        </w:trPr>
        <w:tc>
          <w:tcPr>
            <w:tcW w:w="4540" w:type="dxa"/>
            <w:vAlign w:val="bottom"/>
            <w:gridSpan w:val="3"/>
          </w:tcPr>
          <w:p>
            <w:pPr xmlns:w="http://schemas.openxmlformats.org/wordprocessingml/2006/main">
              <w:spacing w:after="0" w:line="256" w:lineRule="exact"/>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0563C1"/>
              </w:rPr>
              <w:t xml:space="preserve">https://www.sec.gov/oiea/Complaint.html</w:t>
            </w:r>
            <w:r>
              <w:rPr xmlns:w="http://schemas.openxmlformats.org/wordprocessingml/2006/main">
                <w:rFonts w:ascii="Calibri" w:cs="Calibri" w:eastAsia="Calibri" w:hAnsi="Calibri"/>
                <w:sz w:val="22"/>
                <w:szCs w:val="22"/>
                <w:color w:val="auto"/>
              </w:rPr>
              <w:t xml:space="preserve">).</w:t>
            </w:r>
          </w:p>
        </w:tc>
        <w:tc>
          <w:tcPr>
            <w:tcW w:w="4880" w:type="dxa"/>
            <w:vAlign w:val="bottom"/>
          </w:tcPr>
          <w:p>
            <w:pPr>
              <w:spacing w:after="0"/>
              <w:rPr>
                <w:sz w:val="22"/>
                <w:szCs w:val="22"/>
                <w:color w:val="auto"/>
              </w:rPr>
            </w:pPr>
          </w:p>
        </w:tc>
      </w:tr>
      <w:tr>
        <w:trPr>
          <w:trHeight w:val="263"/>
        </w:trPr>
        <w:tc>
          <w:tcPr>
            <w:tcW w:w="80" w:type="dxa"/>
            <w:vAlign w:val="bottom"/>
          </w:tcPr>
          <w:p>
            <w:pPr>
              <w:spacing w:after="0"/>
              <w:rPr>
                <w:sz w:val="22"/>
                <w:szCs w:val="22"/>
                <w:color w:val="auto"/>
              </w:rPr>
            </w:pPr>
          </w:p>
        </w:tc>
        <w:tc>
          <w:tcPr>
            <w:tcW w:w="3820" w:type="dxa"/>
            <w:vAlign w:val="bottom"/>
            <w:tcBorders>
              <w:top w:val="single" w:sz="8" w:color="0563C1"/>
            </w:tcBorders>
          </w:tcPr>
          <w:p>
            <w:pPr xmlns:w="http://schemas.openxmlformats.org/wordprocessingml/2006/main">
              <w:ind w:left="40"/>
              <w:spacing w:after="0" w:line="262" w:lineRule="exact"/>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r>
          </w:p>
        </w:tc>
        <w:tc>
          <w:tcPr>
            <w:tcW w:w="640" w:type="dxa"/>
            <w:vAlign w:val="bottom"/>
          </w:tcPr>
          <w:p>
            <w:pPr>
              <w:spacing w:after="0"/>
              <w:rPr>
                <w:sz w:val="22"/>
                <w:szCs w:val="22"/>
                <w:color w:val="auto"/>
              </w:rPr>
            </w:pPr>
          </w:p>
        </w:tc>
        <w:tc>
          <w:tcPr>
            <w:tcW w:w="4880" w:type="dxa"/>
            <w:vAlign w:val="bottom"/>
          </w:tcPr>
          <w:p>
            <w:pPr xmlns:w="http://schemas.openxmlformats.org/wordprocessingml/2006/main">
              <w:ind w:left="480"/>
              <w:spacing w:after="0" w:line="262" w:lineRule="exact"/>
              <w:rPr>
                <w:sz w:val="20"/>
                <w:szCs w:val="20"/>
                <w:color w:val="auto"/>
              </w:rPr>
            </w:pPr>
            <w:r>
              <w:rPr xmlns:w="http://schemas.openxmlformats.org/wordprocessingml/2006/main">
                <w:rFonts w:ascii="Calibri" w:cs="Calibri" w:eastAsia="Calibri" w:hAnsi="Calibri"/>
                <w:sz w:val="22"/>
                <w:szCs w:val="22"/>
                <w:color w:val="auto"/>
              </w:rPr>
              <w:t xml:space="preserve">Amerikaanse Securities and Exchange Commission</w:t>
            </w:r>
          </w:p>
        </w:tc>
      </w:tr>
      <w:tr>
        <w:trPr>
          <w:trHeight w:val="269"/>
        </w:trPr>
        <w:tc>
          <w:tcPr>
            <w:tcW w:w="80" w:type="dxa"/>
            <w:vAlign w:val="bottom"/>
          </w:tcPr>
          <w:p>
            <w:pPr>
              <w:spacing w:after="0"/>
              <w:rPr>
                <w:sz w:val="23"/>
                <w:szCs w:val="23"/>
                <w:color w:val="auto"/>
              </w:rPr>
            </w:pPr>
          </w:p>
        </w:tc>
        <w:tc>
          <w:tcPr>
            <w:tcW w:w="4460" w:type="dxa"/>
            <w:vAlign w:val="bottom"/>
            <w:gridSpan w:val="2"/>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22"/>
                <w:szCs w:val="22"/>
                <w:color w:val="auto"/>
              </w:rPr>
              <w:t xml:space="preserve">9509 Key West Avenue</w:t>
            </w:r>
          </w:p>
        </w:tc>
        <w:tc>
          <w:tcPr>
            <w:tcW w:w="4880" w:type="dxa"/>
            <w:vAlign w:val="bottom"/>
          </w:tcPr>
          <w:p>
            <w:pPr xmlns:w="http://schemas.openxmlformats.org/wordprocessingml/2006/main">
              <w:ind w:left="480"/>
              <w:spacing w:after="0"/>
              <w:rPr>
                <w:sz w:val="20"/>
                <w:szCs w:val="20"/>
                <w:color w:val="auto"/>
              </w:rPr>
            </w:pPr>
            <w:r>
              <w:rPr xmlns:w="http://schemas.openxmlformats.org/wordprocessingml/2006/main">
                <w:rFonts w:ascii="Calibri" w:cs="Calibri" w:eastAsia="Calibri" w:hAnsi="Calibri"/>
                <w:sz w:val="22"/>
                <w:szCs w:val="22"/>
                <w:color w:val="auto"/>
              </w:rPr>
              <w:t xml:space="preserve">Office of Investor Education and Advocacy</w:t>
            </w:r>
          </w:p>
        </w:tc>
      </w:tr>
      <w:tr>
        <w:trPr>
          <w:trHeight w:val="269"/>
        </w:trPr>
        <w:tc>
          <w:tcPr>
            <w:tcW w:w="80" w:type="dxa"/>
            <w:vAlign w:val="bottom"/>
          </w:tcPr>
          <w:p>
            <w:pPr>
              <w:spacing w:after="0"/>
              <w:rPr>
                <w:sz w:val="23"/>
                <w:szCs w:val="23"/>
                <w:color w:val="auto"/>
              </w:rPr>
            </w:pPr>
          </w:p>
        </w:tc>
        <w:tc>
          <w:tcPr>
            <w:tcW w:w="4460" w:type="dxa"/>
            <w:vAlign w:val="bottom"/>
            <w:gridSpan w:val="2"/>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4880" w:type="dxa"/>
            <w:vAlign w:val="bottom"/>
          </w:tcPr>
          <w:p>
            <w:pPr xmlns:w="http://schemas.openxmlformats.org/wordprocessingml/2006/main">
              <w:ind w:left="480"/>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r>
      <w:tr>
        <w:trPr>
          <w:trHeight w:val="269"/>
        </w:trPr>
        <w:tc>
          <w:tcPr>
            <w:tcW w:w="80" w:type="dxa"/>
            <w:vAlign w:val="bottom"/>
          </w:tcPr>
          <w:p>
            <w:pPr>
              <w:spacing w:after="0"/>
              <w:rPr>
                <w:sz w:val="23"/>
                <w:szCs w:val="23"/>
                <w:color w:val="auto"/>
              </w:rPr>
            </w:pPr>
          </w:p>
        </w:tc>
        <w:tc>
          <w:tcPr>
            <w:tcW w:w="4460" w:type="dxa"/>
            <w:vAlign w:val="bottom"/>
            <w:gridSpan w:val="2"/>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22"/>
                <w:szCs w:val="22"/>
                <w:color w:val="auto"/>
              </w:rPr>
              <w:t xml:space="preserve">Telefoon: (240) 386 43 57 Fax: (866) 397 32 90</w:t>
            </w:r>
          </w:p>
        </w:tc>
        <w:tc>
          <w:tcPr>
            <w:tcW w:w="4880" w:type="dxa"/>
            <w:vAlign w:val="bottom"/>
          </w:tcPr>
          <w:p>
            <w:pPr xmlns:w="http://schemas.openxmlformats.org/wordprocessingml/2006/main">
              <w:ind w:left="480"/>
              <w:spacing w:after="0"/>
              <w:rPr>
                <w:sz w:val="20"/>
                <w:szCs w:val="20"/>
                <w:color w:val="auto"/>
              </w:rPr>
            </w:pPr>
            <w:r>
              <w:rPr xmlns:w="http://schemas.openxmlformats.org/wordprocessingml/2006/main">
                <w:rFonts w:ascii="Calibri" w:cs="Calibri" w:eastAsia="Calibri" w:hAnsi="Calibri"/>
                <w:sz w:val="22"/>
                <w:szCs w:val="22"/>
                <w:color w:val="auto"/>
                <w:w w:val="99"/>
              </w:rPr>
              <w:t xml:space="preserve">Washington, DC 20549-0213 Fax: (202) 772-9295</w:t>
            </w:r>
          </w:p>
        </w:tc>
      </w:tr>
    </w:tbl>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73660</wp:posOffset>
                </wp:positionH>
                <wp:positionV relativeFrom="paragraph">
                  <wp:posOffset>16510</wp:posOffset>
                </wp:positionV>
                <wp:extent cx="6811010" cy="0"/>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6" o:spid="_x0000_s109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1.3pt" to="542.1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700"/>
      </w:cols>
      <w:pgMar w:left="860" w:top="774" w:right="680" w:bottom="283"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36E48CA"/>
    <w:multiLevelType w:val="hybridMultilevel"/>
    <w:lvl w:ilvl="0">
      <w:lvlJc w:val="left"/>
      <w:lvlText w:val="·"/>
      <w:numFmt w:val="bullet"/>
      <w:start w:val="1"/>
    </w:lvl>
  </w:abstractNum>
  <w:abstractNum w:abstractNumId="1">
    <w:nsid w:val="714F50FE"/>
    <w:multiLevelType w:val="hybridMultilevel"/>
    <w:lvl w:ilvl="0">
      <w:lvlJc w:val="left"/>
      <w:lvlText w:val="·"/>
      <w:numFmt w:val="bullet"/>
      <w:start w:val="1"/>
    </w:lvl>
  </w:abstractNum>
  <w:abstractNum w:abstractNumId="2">
    <w:nsid w:val="5D57CEA3"/>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2024-06-24T11:18:35Z</dcterms:created>
  <dcterms:modified xsi:type="dcterms:W3CDTF">2024-06-24T11:18:35Z</dcterms:modified>
</cp:coreProperties>
</file>