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b w:val="1"/>
          <w:bCs w:val="1"/>
          <w:color w:val="263E33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4364355</wp:posOffset>
            </wp:positionH>
            <wp:positionV relativeFrom="page">
              <wp:posOffset>344170</wp:posOffset>
            </wp:positionV>
            <wp:extent cx="2835275" cy="2520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32"/>
          <w:szCs w:val="32"/>
          <w:b w:val="1"/>
          <w:bCs w:val="1"/>
          <w:color w:val="263E33"/>
        </w:rPr>
        <w:t xml:space="preserve">Dokument zawierający kluczowe informacje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5532120</wp:posOffset>
            </wp:positionH>
            <wp:positionV relativeFrom="paragraph">
              <wp:posOffset>-114300</wp:posOffset>
            </wp:positionV>
            <wp:extent cx="516890" cy="1136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1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Przeznaczenie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Pojęcia niezdefiniowane w niniejszym dokumencie są zgodne z definicją zawartą w Prospekcie.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111760</wp:posOffset>
            </wp:positionV>
            <wp:extent cx="6840220" cy="476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7"/>
          <w:szCs w:val="27"/>
          <w:b w:val="1"/>
          <w:bCs w:val="1"/>
          <w:color w:val="263E33"/>
        </w:rPr>
        <w:t xml:space="preserve">SPDR S&amp;P U.S. Dividend Aristocrats UCITS ETF ("Fundusz")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color w:val="263E33"/>
        </w:rPr>
        <w:t xml:space="preserve">subfundusz </w:t>
      </w: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SSGA SPDR ETF Europe I plc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263E33"/>
        </w:rPr>
        <w:t xml:space="preserve">Klasa akcji: SPDR S&amp;P U.S. Dividend Aristocrats UCITS ETF (Dist) (ISIN IE00B6YX5D40)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SPDR S&amp;P U.S. Dividend Aristocrats UCITS ETF posiada zezwolenie na prowadzenie działalności w Irlandii i jest regulowany przez Central Bank of Ireland.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ten jest zarządzany przez State Street Global Advisors Europe Limited ("Fund Manager"), który posiada zezwolenie w Irlandii i jest nadzorowany przez Central Bank of Ireland.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Więcej informacji na temat tego produktu można znaleźć pod adresem </w:t>
      </w:r>
      <w:hyperlink w:anchor="page1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auto"/>
          </w:rPr>
          <w:t xml:space="preserve">www.ssga.com</w:t>
        </w:r>
      </w:hyperlink>
    </w:p>
    <w:p>
      <w:pPr>
        <w:spacing w:after="0" w:line="10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63E33"/>
        </w:rPr>
        <w:t xml:space="preserve">Dokładne od: 1 stycznia 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158750</wp:posOffset>
            </wp:positionV>
            <wp:extent cx="6840220" cy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64" w:right="566" w:bottom="0" w:gutter="0" w:footer="0" w:header="0"/>
        </w:sect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Co to za produkt?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Typ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Fundusz ten jest spółką inwestycyjną otwartą o zmiennym kapitale, która została utworzona w Irlandii w dniu 5 stycznia 2011 r. pod numerem rejestracyjnym 493329 i jest zatwierdzona przez Bank Centralny jako UCITS.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Termin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Spółka jest spółką akcyjną otwartą, założoną na czas nieokreślony.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Jednakże może on zostać w każdej chwili rozwiązany uchwałą podjętą na walnym zgromadzeniu akcjonariuszy, podjętą zgodnie z obowiązującymi przepisami prawa.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nie ma terminu zapadalności.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Może on jednak zostać rozwiązany i zlikwidowany decyzją Rady na szczególnych warunkach określonych w Prospekcie.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Cele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Celem Funduszu jest śledzenie wyników niektórych udziałowych papierów wartościowych wypłacających wysokie dywidendy na amerykańskich rynkach akcji.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dąży do jak najściślejszego śledzenia wyników indeksu arystokratów S&amp;P High Yield Dividend Index ("Indeks").</w:t>
      </w:r>
    </w:p>
    <w:p>
      <w:pPr>
        <w:spacing w:after="0" w:line="8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jest funduszem śledzącym indeksy (znanym również jako fundusz zarządzany pasywnie).</w:t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Polityka inwestycyjna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Fundusz inwestuje przede wszystkim w papiery wartościowe objęte Indeksem.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Papiery te obejmują wysokowydajne akcje z USA. Papiery wartościowe muszą spełniać wymogi w zakresie dywersyfikacji, stabilności i obrotu, a następnie są ważone zgodnie z wielkością ich dywidendy.</w:t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Chociaż indeks jest zasadniczo dobrze zdywersyfikowany, aby umożliwić funduszowi dokładne śledzenie indeksu, fundusz będzie korzystał ze zwiększonych limitów dywersyfikacji dostępnych na mocy rozporządzeń w sprawie UCITS, które umożliwiają mu utrzymywanie pozycji w poszczególnych składnikach indeksu wyemitowanych przez ten sam organ w wysokości do 20 % wartości aktywów netto funduszu.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stara się utrzymywać wszystkie papiery wartościowe objęte Indeksem z przybliżonymi współczynnikami korygującymi, jak w tym Indeksie.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Fundusz będzie stosował strategię replikacji w celu stworzenia zbliżonego do lustrzanego obrazu Indeksu.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 ograniczonych okolicznościach Fundusz może nabywać papiery wartościowe, które nie są objęte Indeksem.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może wykorzystywać finansowe instrumenty pochodne (tj. umowy finansowe, których ceny zależą od jednego lub większej liczby aktywów bazowych) w celu efektywnego zarządzania portfelem.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3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 wyjątkiem wyjątkowych okoliczności Fundusz będzie zasadniczo emitował i umarzał akcje tylko niektórym inwestorom instytucjonalnym.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Natomiast akcje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1453515</wp:posOffset>
            </wp:positionV>
            <wp:extent cx="6840220" cy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może być kupowany lub sprzedawany za pośrednictwem brokerów na jednej lub kilku giełdach.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Fundusz dokonuje obrotu na tych giełdach po cenach rynkowych, które mogą ulegać wahaniom w ciągu dnia.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Ceny rynkowe mogą być wyższe lub niższe od dziennej wartości aktywów netto Funduszu.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Obecnie Fundusz nie prowadzi działalności w zakresie pożyczek papierów wartościowych.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7" w:lineRule="auto"/>
        <w:rPr>
          <w:rFonts w:ascii="Arial" w:cs="Arial" w:eastAsia="Arial" w:hAnsi="Arial"/>
          <w:sz w:val="16"/>
          <w:szCs w:val="16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Akcjonariusze mogą umarzać akcje w dowolnym dniu roboczym w Zjednoczonym Królestwie (innym niż dni, w których właściwe rynki finansowe są zamknięte dla prowadzenia działalności i/lub dzień poprzedzający taki dzień, pod warunkiem że lista takich zamkniętych dni rynkowych zostanie opublikowana dla Funduszu na stronie </w:t>
      </w:r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auto"/>
          </w:rPr>
          <w:t xml:space="preserve">www.ssga.com); </w:t>
        </w:r>
      </w:hyperlink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oraz w każdym innym dniu według uznania Dyrektorów (działając rozsądnie), pod warunkiem że Akcjonariusze zostaną powiadomieni z wyprzedzeniem o takich dniach.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Wszelkie przychody uzyskane przez Fundusz będą wypłacane akcjonariuszom z tytułu posiadanych akcji.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Akcje Funduszu są emitowane w dolarach amerykańskich.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Źródło indeksu: "S&amp;P High Yield Dividend Aristocrats Index ("Indeks")" jest produktem spółki S&amp;P Dow Jones Indices LLC ("S&amp;P"), który otrzymał licencję na użytkowanie od State Street Global Advisors.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Standard &amp; Poor's® oraz S&amp;P® są zastrzeżonymi znakami towarowymi firmy Standard &amp; Poor's Financial Services LLC, Dow Jones® jest zastrzeżonym znakiem towarowym firmy Dow Jones Trademark Holdings LLC.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State Street Global Advisors' SPDR S&amp;P U.S. Dividend Aristocrats UCITS ETF nie jest sponsorowany, wspierany, sprzedawany ani promowany przez S&amp;P, jej spółki stowarzyszone ani jej lub ich zewnętrznych licencjodawców, a żadna z takich stron nie składa żadnych oświadczeń dotyczących celowości inwestowania w taki produkt(-y) ani nie ponosi żadnej odpowiedzialności za jakiekolwiek błędy, pominięcia lub przerwy w działaniu Indeksu.</w:t>
      </w:r>
    </w:p>
    <w:p>
      <w:pPr>
        <w:spacing w:after="0" w:line="9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Zamierzony inwestor detaliczny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ten jest przeznaczony dla inwestorów, którzy planują pozostać w inwestycjach przez co najmniej 5 lat i są gotowi podjąć ryzyko straty kapitału początkowego na średnim poziomie, aby uzyskać wyższy potencjalny zwrot.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Jest zaprojektowany jako część portfela inwestycji.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Informacje praktyczne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Depozytariusz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000000"/>
        </w:rPr>
        <w:t xml:space="preserve"> Depozytariuszem funduszu jest State Street Custodial Services (Ireland) Limited.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8" w:lineRule="auto"/>
        <w:rPr>
          <w:rFonts w:ascii="Arial" w:cs="Arial" w:eastAsia="Arial" w:hAnsi="Arial"/>
          <w:sz w:val="16"/>
          <w:szCs w:val="16"/>
          <w:color w:val="00000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Dalsze informacje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Prospekt emisyjny oraz ostatni roczny i półroczny raport finansowy w języku angielskim, a także najnowsza wartość aktywów netto na akcję są dostępne bezpłatnie na żądanie ze strony </w:t>
      </w:r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00"/>
          </w:rPr>
          <w:t xml:space="preserve">www.ssga.com </w:t>
        </w:r>
      </w:hyperlink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lub pisząc do Managera Funduszu, State Street Global Advisors Europe Limited, 78 Sir John Rogerson's Quay, Dublin 2, Irlandia.</w:t>
      </w:r>
    </w:p>
    <w:p>
      <w:pPr>
        <w:spacing w:after="0" w:line="37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60" w:space="460"/>
            <w:col w:w="5160"/>
          </w:cols>
          <w:pgMar w:left="560" w:top="564" w:right="56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Strona 1/3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1 stycznia 2023</w:t>
      </w:r>
    </w:p>
    <w:p>
      <w:pPr>
        <w:sectPr>
          <w:pgSz w:w="11900" w:h="16838" w:orient="portrait"/>
          <w:cols w:equalWidth="0" w:num="1">
            <w:col w:w="10780"/>
          </w:cols>
          <w:pgMar w:left="560" w:top="564" w:right="56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auto"/>
        </w:rPr>
        <w:t xml:space="preserve">SPDR S&amp;P U.S. Dividend Aristocrats UCITS ETF, subfundusz SSGA SPDR ETFs Europe I plc - Dist Distribution USD (IE00B6YX5D40)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34925</wp:posOffset>
            </wp:positionV>
            <wp:extent cx="6840220" cy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21" w:right="566" w:bottom="0" w:gutter="0" w:footer="0" w:header="0"/>
        </w:sect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263E33"/>
        </w:rPr>
        <w:t xml:space="preserve">Jakie jest ryzyko i co mogę dostać w zamian?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Ryzyka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43180</wp:posOffset>
            </wp:positionV>
            <wp:extent cx="3312160" cy="890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6" w:lineRule="exact"/>
        <w:rPr>
          <w:sz w:val="20"/>
          <w:szCs w:val="20"/>
          <w:color w:val="auto"/>
        </w:rPr>
      </w:pPr>
    </w:p>
    <w:tbl>
      <w:tblPr>
        <w:tblLayout w:type="fixed"/>
        <w:tblInd w:w="1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880" w:type="dxa"/>
            <w:vAlign w:val="bottom"/>
          </w:tcPr>
          <w:p>
            <w:pPr xmlns:w="http://schemas.openxmlformats.org/wordprocessingml/2006/main">
              <w:jc w:val="right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  <w:w w:val="86"/>
              </w:rPr>
              <w:t xml:space="preserve">Niższe ryzyko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Wyższe ryzyko</w:t>
            </w:r>
          </w:p>
        </w:tc>
      </w:tr>
      <w:tr>
        <w:trPr>
          <w:trHeight w:val="554"/>
        </w:trPr>
        <w:tc>
          <w:tcPr>
            <w:tcW w:w="880" w:type="dxa"/>
            <w:vAlign w:val="bottom"/>
          </w:tcPr>
          <w:p>
            <w:pPr xmlns:w="http://schemas.openxmlformats.org/wordprocessingml/2006/main">
              <w:jc w:val="right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</w:t>
            </w:r>
          </w:p>
        </w:tc>
        <w:tc>
          <w:tcPr>
            <w:tcW w:w="520" w:type="dxa"/>
            <w:vAlign w:val="bottom"/>
          </w:tcPr>
          <w:p>
            <w:pPr xmlns:w="http://schemas.openxmlformats.org/wordprocessingml/2006/main"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2</w:t>
            </w:r>
          </w:p>
        </w:tc>
        <w:tc>
          <w:tcPr>
            <w:tcW w:w="700" w:type="dxa"/>
            <w:vAlign w:val="bottom"/>
          </w:tcPr>
          <w:p>
            <w:pPr xmlns:w="http://schemas.openxmlformats.org/wordprocessingml/2006/main"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3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4</w:t>
            </w:r>
          </w:p>
        </w:tc>
        <w:tc>
          <w:tcPr>
            <w:tcW w:w="700" w:type="dxa"/>
            <w:vAlign w:val="bottom"/>
          </w:tcPr>
          <w:p>
            <w:pPr xmlns:w="http://schemas.openxmlformats.org/wordprocessingml/2006/main"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5</w:t>
            </w: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6</w:t>
            </w: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7</w:t>
            </w:r>
          </w:p>
        </w:tc>
      </w:tr>
    </w:tbl>
    <w:p>
      <w:pPr>
        <w:spacing w:after="0" w:line="1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Wskaźnik ryzyka zakłada przechowywanie produktu przez 5 lat.</w:t>
      </w:r>
    </w:p>
    <w:p>
      <w:pPr>
        <w:spacing w:after="0" w:line="38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Powyższa kategoria ryzyka pokazuje, jak prawdopodobne jest, że fundusz straci pieniądze z powodu zmian na rynkach lub dlatego, że nie jesteśmy w stanie Ci zapłacić.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Kategoria ryzyka Funduszu nie jest gwarantowana i może ulec zmianie w przyszłości.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Zaklasyfikowaliśmy ten produkt jako 5 z 7, co jest kategorią średniego ryzyka.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 ten sposób ocenia się potencjalne straty wynikające z przyszłych wyników na średnim poziomie, a złe warunki rynkowe prawdopodobnie wpłyną na zdolność State Street Global Advisors Europe Limited do zapłaty.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Możesz otrzymywać płatności w innej walucie, więc na wyniki Twojej inwestycji będzie miał wpływ kurs wymiany między tymi dwiema walutami.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Ryzyko to nie jest uwzględniane we wskaźniku przedstawionym powyżej.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Poza ryzykami uwzględnionymi we wskaźniku ryzyka, na wyniki funduszu mogą mieć wpływ inne rodzaje ryzyka.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Prospekt emisyjny Funduszu dostępny jest bezpłatnie na stronie </w:t>
      </w:r>
      <w:hyperlink r:id="rId17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auto"/>
          </w:rPr>
          <w:t xml:space="preserve">www.ssga.com.</w:t>
        </w:r>
      </w:hyperlink>
    </w:p>
    <w:p>
      <w:pPr>
        <w:spacing w:after="0" w:line="14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220" w:space="340"/>
            <w:col w:w="5220"/>
          </w:cols>
          <w:pgMar w:left="560" w:top="521" w:right="566" w:bottom="0" w:gutter="0" w:footer="0" w:header="0"/>
          <w:type w:val="continuous"/>
        </w:sect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Scenariusze wydajności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Przedstawione dane liczbowe obejmują wszystkie koszty funduszu inne niż koszty, które mogą być konieczne do zapłacenia doradcy, dystrybutorowi lub innemu pośrednikowi.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Liczby nie uwzględniają Twojej osobistej sytuacji podatkowej, która może mieć również wpływ na Twój zwrot.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To, co uzyskasz z tego produktu, zależy od przyszłej wydajności rynku.</w:t>
      </w: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 Rozwój rynku w przyszłości jest niepewny i nie można go dokładnie przewidzieć.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Niekorzystne, umiarkowane i korzystne scenariusze są ilustracjami wykorzystującymi najgorszą, średnią i najlepszą wydajność produktu w ciągu ostatnich 10 lat.</w:t>
      </w: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 Rynki mogą w przyszłości rozwijać się zupełnie inaczej.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Scenariusz warunków skrajnych pokazuje, co możesz odzyskać w ekstremalnych warunkach rynkowych.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Niekorzystny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: taki scenariusz miał miejsce dla inwestycji w latach 2021-2022.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Umiarkowane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: taki scenariusz miał miejsce w przypadku inwestycji w latach 2014-2019.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Korzystny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: taki scenariusz miał miejsce w przypadku inwestycji w latach 2012-2017.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95885</wp:posOffset>
            </wp:positionV>
            <wp:extent cx="6840220" cy="2051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0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9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584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Zalecany okres utrzymywania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5 lat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317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  <w:w w:val="97"/>
              </w:rPr>
              <w:t xml:space="preserve">Przykładowa inwestycja</w:t>
            </w: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10 000 USD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38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6"/>
              </w:rPr>
              <w:t xml:space="preserve">jeśli zakończysz po</w:t>
            </w:r>
          </w:p>
        </w:tc>
      </w:tr>
      <w:tr>
        <w:trPr>
          <w:trHeight w:val="192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0"/>
              </w:rPr>
              <w:t xml:space="preserve">5 lat</w:t>
            </w:r>
          </w:p>
        </w:tc>
      </w:tr>
      <w:tr>
        <w:trPr>
          <w:trHeight w:val="193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7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</w:rPr>
              <w:t xml:space="preserve">jeśli zakończysz po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2"/>
              </w:rPr>
              <w:t xml:space="preserve">(zalecane</w:t>
            </w:r>
          </w:p>
        </w:tc>
      </w:tr>
      <w:tr>
        <w:trPr>
          <w:trHeight w:val="192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</w:rPr>
              <w:t xml:space="preserve">Scenariusze</w:t>
            </w: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2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</w:rPr>
              <w:t xml:space="preserve">1 rok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6"/>
              </w:rPr>
              <w:t xml:space="preserve">(okres utrzymywania)</w:t>
            </w:r>
          </w:p>
        </w:tc>
      </w:tr>
      <w:tr>
        <w:trPr>
          <w:trHeight w:val="367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Minimalne</w:t>
            </w:r>
          </w:p>
        </w:tc>
        <w:tc>
          <w:tcPr>
            <w:tcW w:w="7240" w:type="dxa"/>
            <w:vAlign w:val="bottom"/>
            <w:gridSpan w:val="2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Nie ma minimalnego gwarantowanego zwrotu.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 Możesz stracić część lub całość inwestycji.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65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Naprężenie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870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930 USD</w:t>
            </w:r>
          </w:p>
        </w:tc>
      </w:tr>
      <w:tr>
        <w:trPr>
          <w:trHeight w:val="190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- 91,3%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- 37,8%</w:t>
            </w:r>
          </w:p>
        </w:tc>
      </w:tr>
      <w:tr>
        <w:trPr>
          <w:trHeight w:val="350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Niekorzystny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8 240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10 270 USD</w:t>
            </w:r>
          </w:p>
        </w:tc>
      </w:tr>
      <w:tr>
        <w:trPr>
          <w:trHeight w:val="193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- 17,6%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0.5%</w:t>
            </w:r>
          </w:p>
        </w:tc>
      </w:tr>
      <w:tr>
        <w:trPr>
          <w:trHeight w:val="350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Umiarkowane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11 140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16 490 USD</w:t>
            </w:r>
          </w:p>
        </w:tc>
      </w:tr>
      <w:tr>
        <w:trPr>
          <w:trHeight w:val="194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11,4%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10.5%</w:t>
            </w:r>
          </w:p>
        </w:tc>
      </w:tr>
      <w:tr>
        <w:trPr>
          <w:trHeight w:val="349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Korzystne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15 140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20 020 USD</w:t>
            </w:r>
          </w:p>
        </w:tc>
      </w:tr>
      <w:tr>
        <w:trPr>
          <w:trHeight w:val="192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51,4%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14,9%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-2395220</wp:posOffset>
            </wp:positionV>
            <wp:extent cx="6840220" cy="24415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44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Co się stanie, jeśli zarządzający funduszem nie będzie w stanie wypłacić środków?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Zarządzający odpowiada za administrowanie i zarządzanie Spółką i zazwyczaj nie posiada aktywów Spółki (aktywa, które mogą być przechowywane przez depozytariusza są, zgodnie z obowiązującymi przepisami, przechowywane u depozytariusza w jego sieci powierniczej).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Kierownik, jako producent tego produktu, nie ma obowiązku wypłacać, ponieważ projekt produktu nie przewiduje żadnej takiej płatności.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Inwestorzy mogą jednak ponieść stratę, jeżeli Spółka lub depozytariusz nie będą w stanie jej wypłacić.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154305</wp:posOffset>
            </wp:positionV>
            <wp:extent cx="6840220" cy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Jakie są koszty?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Osoba doradzająca lub sprzedająca Ci ten produkt może naliczyć Ci inne koszty.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Jeśli tak, osoba ta przekaże Ci informacje o tych kosztach i ich wpływie na Twoją inwestycję.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Koszty w czasie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Kwoty te zależą od tego, ile zainwestujecie i jak długo utrzymujecie Państwo Fundusz.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Przedstawione tu kwoty są ilustracjami opartymi na określonej kwocie inwestycji, z uwzględnieniem różnych okresów utrzymywania.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Założyliśmy: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 w:hanging="233"/>
        <w:spacing w:after="0" w:line="245" w:lineRule="auto"/>
        <w:tabs>
          <w:tab w:leader="none" w:pos="24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263E33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 odniesieniu do pozostałych okresów utrzymywania zasobów założyliśmy, że produkt działa zgodnie ze scenariuszem umiarkowanym,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391795</wp:posOffset>
            </wp:positionV>
            <wp:extent cx="6840220" cy="698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21" w:right="566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Strona 2/3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1 stycznia 2023</w:t>
      </w:r>
    </w:p>
    <w:p>
      <w:pPr>
        <w:sectPr>
          <w:pgSz w:w="11900" w:h="16838" w:orient="portrait"/>
          <w:cols w:equalWidth="0" w:num="1">
            <w:col w:w="10780"/>
          </w:cols>
          <w:pgMar w:left="560" w:top="521" w:right="566" w:bottom="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SPDR S&amp;P U.S. Dividend Aristocrats UCITS ETF, subfundusz SSGA SPDR ETFs Europe I plc - Dist Distribution USD (IE00B6YX5D40)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15875</wp:posOffset>
            </wp:positionV>
            <wp:extent cx="6840220" cy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263E33"/>
        </w:rPr>
        <w:t xml:space="preserve">Q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10 000 USD rocznie jest inwestowane.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100330</wp:posOffset>
            </wp:positionV>
            <wp:extent cx="6840220" cy="5740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1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4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6"/>
              </w:rPr>
              <w:t xml:space="preserve">jeśli zakończysz po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4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0"/>
              </w:rPr>
              <w:t xml:space="preserve">5 lat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49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Przykład: Inwestycja 10 000 USD</w:t>
            </w: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jc w:val="center"/>
              <w:ind w:left="2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6"/>
              </w:rPr>
              <w:t xml:space="preserve">jeśli zakończysz po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2"/>
              </w:rPr>
              <w:t xml:space="preserve">(zalecane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49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jc w:val="center"/>
              <w:ind w:left="2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5"/>
              </w:rPr>
              <w:t xml:space="preserve">1 rok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6"/>
              </w:rPr>
              <w:t xml:space="preserve">(okres utrzymywania)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ogółem</w:t>
            </w: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ind w:left="24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36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300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8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Roczny wpływ na koszty*</w:t>
            </w: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ind w:left="24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0,4%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0,4%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-414655</wp:posOffset>
            </wp:positionV>
            <wp:extent cx="6840220" cy="4667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firstLine="7"/>
        <w:spacing w:after="0" w:line="245" w:lineRule="auto"/>
        <w:tabs>
          <w:tab w:leader="none" w:pos="222" w:val="left"/>
        </w:tabs>
        <w:numPr>
          <w:ilvl w:val="0"/>
          <w:numId w:val="2"/>
        </w:numPr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Na przykład pokazuje to, że jeśli opuścisz zakład w zalecanym okresie utrzymywania, średni roczny zwrot z inwestycji wyniesie 10.9% przed kosztami i 10.5% po kosztach.</w:t>
      </w:r>
    </w:p>
    <w:p>
      <w:pPr>
        <w:sectPr>
          <w:pgSz w:w="11900" w:h="16838" w:orient="portrait"/>
          <w:cols w:equalWidth="0" w:num="1">
            <w:col w:w="10780"/>
          </w:cols>
          <w:pgMar w:left="560" w:top="517" w:right="566" w:bottom="0" w:gutter="0" w:footer="0" w:header="0"/>
        </w:sectPr>
      </w:pP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Struktura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96520</wp:posOffset>
            </wp:positionV>
            <wp:extent cx="5219700" cy="3740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Jednorazowe koszty przy wjeździe lub wyjeździe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1624330</wp:posOffset>
            </wp:positionH>
            <wp:positionV relativeFrom="paragraph">
              <wp:posOffset>52705</wp:posOffset>
            </wp:positionV>
            <wp:extent cx="4763" cy="4737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 wejścia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0.00%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 ponoszonych przy wejściu do 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To jest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700" w:right="60"/>
        <w:spacing w:after="0" w:line="27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Najwięcej zapłacisz, a będziesz mógł zapłacić mniej.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 jest już uwzględniony w cenie.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Obejmuje to koszty dystrybucji produktu.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31115</wp:posOffset>
            </wp:positionV>
            <wp:extent cx="5219700" cy="4763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Roczny wpływ na koszty w przypadku wyjścia po 1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-96520</wp:posOffset>
            </wp:positionH>
            <wp:positionV relativeFrom="paragraph">
              <wp:posOffset>-323215</wp:posOffset>
            </wp:positionV>
            <wp:extent cx="1619885" cy="8477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-96520</wp:posOffset>
            </wp:positionH>
            <wp:positionV relativeFrom="paragraph">
              <wp:posOffset>292100</wp:posOffset>
            </wp:positionV>
            <wp:extent cx="1619885" cy="476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3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7940" w:space="440"/>
            <w:col w:w="2400"/>
          </w:cols>
          <w:pgMar w:left="560" w:top="517" w:right="566" w:bottom="0" w:gutter="0" w:footer="0" w:header="0"/>
          <w:type w:val="continuous"/>
        </w:sect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 wyjścia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0.00%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Wpływ kosztów wyjścia z inwestycji w momencie jej dojrzewania.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     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 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6840220" cy="3740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17" w:right="566" w:bottom="0" w:gutter="0" w:footer="0" w:header="0"/>
          <w:type w:val="continuous"/>
        </w:sect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Koszty bieżące ponoszone każdego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1624330</wp:posOffset>
            </wp:positionH>
            <wp:positionV relativeFrom="paragraph">
              <wp:posOffset>52705</wp:posOffset>
            </wp:positionV>
            <wp:extent cx="4763" cy="7175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Opłaty za zarządzanie i inne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0.35%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kosztów, które ponosimy każdego roku za zarządzanie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administracyjne lub operacyjne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Będzie to obejmować koszty pożyczania pieniędzy na inwestycje, ale nie jakiekolwiek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przychody lub korzyści kapitałowe z tego tytułu, bieżące koszty prowadzenia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700" w:right="320"/>
        <w:spacing w:after="0" w:line="24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spółki, ale nie uzyskanego z niej przychodu, a także bieżących kosztów wszelkich bazowych inwestycji w środki znajdujące się w portfelu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48895</wp:posOffset>
            </wp:positionV>
            <wp:extent cx="5219700" cy="35560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5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 transakcyjne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0.01%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 zakupu i sprzedaży przez nas bazowych inwestycji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7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dla produktu.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48260</wp:posOffset>
            </wp:positionV>
            <wp:extent cx="5219700" cy="37401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5" w:right="140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Roczny wpływ na koszty w przypadku wyjścia po 1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-92710</wp:posOffset>
            </wp:positionH>
            <wp:positionV relativeFrom="paragraph">
              <wp:posOffset>50165</wp:posOffset>
            </wp:positionV>
            <wp:extent cx="4763" cy="71755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5" w:hanging="225"/>
        <w:spacing w:after="0"/>
        <w:tabs>
          <w:tab w:leader="none" w:pos="225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USD</w:t>
      </w:r>
    </w:p>
    <w:p>
      <w:pPr>
        <w:spacing w:after="0" w:line="200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>
        <w:spacing w:after="0" w:line="352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 xmlns:w="http://schemas.openxmlformats.org/wordprocessingml/2006/main">
        <w:ind w:left="145" w:hanging="145"/>
        <w:spacing w:after="0"/>
        <w:tabs>
          <w:tab w:leader="none" w:pos="145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-92710</wp:posOffset>
            </wp:positionH>
            <wp:positionV relativeFrom="paragraph">
              <wp:posOffset>-183515</wp:posOffset>
            </wp:positionV>
            <wp:extent cx="1619885" cy="72961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2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080" w:space="295"/>
            <w:col w:w="2405"/>
          </w:cols>
          <w:pgMar w:left="560" w:top="517" w:right="566" w:bottom="0" w:gutter="0" w:footer="0" w:header="0"/>
          <w:type w:val="continuous"/>
        </w:sectPr>
      </w:pPr>
    </w:p>
    <w:p>
      <w:pPr xmlns:w="http://schemas.openxmlformats.org/wordprocessingml/2006/main">
        <w:ind w:left="83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Roczny wpływ na koszty po zakończeniu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83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Koszty uboczne ponoszone na określonych warunkach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po 1 roku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Opłaty za wyniki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Wpływ opłat za wyniki.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przypadku tego funduszu nie ma opłaty za wyniki.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     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 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6840220" cy="476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Jak długo powinienem go trzymać i czy mogę wcześnie zabrać pieniądze?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Zalecany okres przechowywania: 5 lat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48" w:lineRule="auto"/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ten jest przeznaczony na inwestycje długoterminowe; powinieneś być przygotowany na pozostanie w inwestycjach przez co najmniej 5 lat.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Możesz jednak w dowolnym momencie w tym okresie zrealizować inwestycję bez ponoszenia kar lub zatrzymać ją dłużej.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Umorzenia są możliwe w każdy dzień roboczy; wypłata zajmie 2 dni robocze.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Cena za dany dzień, odzwierciedlająca rzeczywistą wartość Funduszu, ustalana jest każdego dnia po punkcie wyceny i publikowana na naszej stronie internetowej </w:t>
      </w:r>
      <w:hyperlink r:id="rId17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auto"/>
          </w:rPr>
          <w:t xml:space="preserve">www.ssga.com.</w:t>
        </w:r>
      </w:hyperlink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Ponieważ akcje są notowane na giełdzie, możesz kupować lub sprzedawać akcje produktu, bez żadnych kar, w każdym normalnym dniu roboczym.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Prosimy o kontakt z brokerem, doradcą finansowym lub dystrybutorem w celu uzyskania informacji o wszelkich kosztach i opłatach związanych ze sprzedażą akcji.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Akcje ETF-ów nabywane na rynku wtórnym nie mogą być z reguły zbyte bezpośrednio na rzecz Spółki.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 wyjątkowych okolicznościach, czy to w wyniku zakłóceń na rynku wtórnym, czy też w inny sposób, inwestorzy, którzy nabyli Akcje ETF na rynku wtórnym są uprawnieni do wystąpienia do Spółki na piśmie o rejestrację tych Akcji ETF we własnym imieniu, w celu umożliwienia im dostępu do możliwości umorzenia, opisanych w części "Rynek pierwotny".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154305</wp:posOffset>
            </wp:positionV>
            <wp:extent cx="6840220" cy="4763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Jak mogę złożyć skargę?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Jeśli masz reklamację dotyczącą Funduszu lub Zarządzającego, więcej szczegółów na temat sposobu reklamacji oraz polityki rozpatrywania reklamacji przez Zarządzającego znajdziesz w sekcji "Kontakt" na stronie: www.ssga.com.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154940</wp:posOffset>
            </wp:positionV>
            <wp:extent cx="6840220" cy="4763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Inne istotne informacje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Koszty, wyniki i ryzyko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Obliczenia kosztów, wyników i ryzyka zawarte w niniejszym dokumencie zawierającym kluczowe informacje są zgodne z metodologią określoną w przepisach UE.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Należy zauważyć, że powyższe scenariusze wyników są oparte wyłącznie na wynikach osiągniętych w przeszłości w odniesieniu do ceny akcji Funduszu i że wyniki osiągnięte w przeszłości nie stanowią wskazówki co do przyszłych zwrotów.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W związku z tym Twoja inwestycja może być zagrożona i możesz nie odzyskać przedstawionych zwrotów.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Inwestorzy nie powinni opierać swoich decyzji inwestycyjnych wyłącznie na przedstawionych scenariuszach.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Scenariusze wydajności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Możesz zażądać aktualizacji poprzednich scenariuszy wydajności co miesiąc, wysyłając wiadomość e-mail na adres Fund_data_services@ssga.com.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rFonts w:ascii="Arial" w:cs="Arial" w:eastAsia="Arial" w:hAnsi="Arial"/>
          <w:sz w:val="17"/>
          <w:szCs w:val="17"/>
          <w:b w:val="1"/>
          <w:bCs w:val="1"/>
          <w:color w:val="263E33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Wyniki z przeszłości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000000"/>
        </w:rPr>
        <w:t xml:space="preserve"> Możesz pobrać wyniki z ostatnich 10 lat z naszej strony internetowej pod adresem </w:t>
      </w:r>
      <w:hyperlink r:id="rId17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000000"/>
          </w:rPr>
          <w:t xml:space="preserve">www.ssga.com.</w:t>
        </w:r>
      </w:hyperlink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587375</wp:posOffset>
            </wp:positionV>
            <wp:extent cx="6840220" cy="698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17" w:right="566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Strona 3/3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1 stycznia 2023</w:t>
      </w:r>
    </w:p>
    <w:sectPr>
      <w:pgSz w:w="11900" w:h="16838" w:orient="portrait"/>
      <w:cols w:equalWidth="0" w:num="1">
        <w:col w:w="10780"/>
      </w:cols>
      <w:pgMar w:left="560" w:top="517" w:right="56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D59BB43"/>
    <w:multiLevelType w:val="hybridMultilevel"/>
    <w:lvl w:ilvl="0">
      <w:lvlJc w:val="left"/>
      <w:lvlText w:val="%1"/>
      <w:numFmt w:val="upperLetter"/>
      <w:start w:val="17"/>
    </w:lvl>
  </w:abstractNum>
  <w:abstractNum w:abstractNumId="1">
    <w:nsid w:val="2EB5543D"/>
    <w:multiLevelType w:val="hybridMultilevel"/>
    <w:lvl w:ilvl="0">
      <w:lvlJc w:val="left"/>
      <w:lvlText w:val="(*)"/>
      <w:numFmt w:val="bullet"/>
      <w:start w:val="1"/>
    </w:lvl>
  </w:abstractNum>
  <w:abstractNum w:abstractNumId="2">
    <w:nsid w:val="36AA77DE"/>
    <w:multiLevelType w:val="hybridMultilevel"/>
    <w:lvl w:ilvl="0">
      <w:lvlJc w:val="left"/>
      <w:lvlText w:val="%1"/>
      <w:numFmt w:val="decimal"/>
      <w:start w:val="35"/>
    </w:lvl>
  </w:abstractNum>
  <w:abstractNum w:abstractNumId="3">
    <w:nsid w:val="3605F1"/>
    <w:multiLevelType w:val="hybridMultilevel"/>
    <w:lvl w:ilvl="0">
      <w:lvlJc w:val="left"/>
      <w:lvlText w:val="%1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image" Target="media/image14.png"/><Relationship Id="rId27" Type="http://schemas.openxmlformats.org/officeDocument/2006/relationships/image" Target="media/image15.png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png"/><Relationship Id="rId32" Type="http://schemas.openxmlformats.org/officeDocument/2006/relationships/image" Target="media/image20.png"/><Relationship Id="rId33" Type="http://schemas.openxmlformats.org/officeDocument/2006/relationships/image" Target="media/image21.png"/><Relationship Id="rId34" Type="http://schemas.openxmlformats.org/officeDocument/2006/relationships/image" Target="media/image22.png"/><Relationship Id="rId35" Type="http://schemas.openxmlformats.org/officeDocument/2006/relationships/image" Target="media/image23.png"/><Relationship Id="rId36" Type="http://schemas.openxmlformats.org/officeDocument/2006/relationships/image" Target="media/image24.png"/><Relationship Id="rId37" Type="http://schemas.openxmlformats.org/officeDocument/2006/relationships/image" Target="media/image25.png"/><Relationship Id="rId38" Type="http://schemas.openxmlformats.org/officeDocument/2006/relationships/image" Target="media/image26.png"/><Relationship Id="rId39" Type="http://schemas.openxmlformats.org/officeDocument/2006/relationships/image" Target="media/image27.png"/><Relationship Id="rId40" Type="http://schemas.openxmlformats.org/officeDocument/2006/relationships/image" Target="media/image28.png"/><Relationship Id="rId41" Type="http://schemas.openxmlformats.org/officeDocument/2006/relationships/image" Target="media/image29.png"/><Relationship Id="rId42" Type="http://schemas.openxmlformats.org/officeDocument/2006/relationships/image" Target="media/image30.png"/><Relationship Id="rId43" Type="http://schemas.openxmlformats.org/officeDocument/2006/relationships/image" Target="media/image31.png"/><Relationship Id="rId44" Type="http://schemas.openxmlformats.org/officeDocument/2006/relationships/image" Target="media/image32.png"/><Relationship Id="rId45" Type="http://schemas.openxmlformats.org/officeDocument/2006/relationships/image" Target="media/image33.png"/><Relationship Id="rId17" Type="http://schemas.openxmlformats.org/officeDocument/2006/relationships/hyperlink" Target="www.ssga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2024-05-21T09:47:43Z</dcterms:created>
  <dcterms:modified xsi:type="dcterms:W3CDTF">2024-05-21T09:47:43Z</dcterms:modified>
</cp:coreProperties>
</file>