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463550</wp:posOffset>
                </wp:positionV>
                <wp:extent cx="6948170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48170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2.1pt;margin-top:36.5pt;width:547.1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582295</wp:posOffset>
                </wp:positionH>
                <wp:positionV relativeFrom="page">
                  <wp:posOffset>463550</wp:posOffset>
                </wp:positionV>
                <wp:extent cx="685355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5355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45.85pt;margin-top:36.5pt;width:539.6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96214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89.8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962660</wp:posOffset>
                </wp:positionV>
                <wp:extent cx="696214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5.8pt" to="589.8pt,7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1837690</wp:posOffset>
                </wp:positionV>
                <wp:extent cx="696214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4.7pt" to="589.8pt,144.7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3052445</wp:posOffset>
                </wp:positionV>
                <wp:extent cx="696214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240.35pt" to="589.8pt,240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3911600</wp:posOffset>
                </wp:positionV>
                <wp:extent cx="696214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08pt" to="589.8pt,30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40613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4061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697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7487285</wp:posOffset>
                </wp:positionH>
                <wp:positionV relativeFrom="page">
                  <wp:posOffset>457200</wp:posOffset>
                </wp:positionV>
                <wp:extent cx="0" cy="840613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4061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9.55pt,36pt" to="589.55pt,697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Kontrakt Terminowy Na Krótkie Towary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25400</wp:posOffset>
                </wp:positionV>
                <wp:extent cx="6947535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7535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8499pt;margin-top:2pt;width:547.05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20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Kontrakty terminowe na towary ze Stanów Zjednoczonych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przekazuje niniejszy dokument na podstawie Rozporządzenia UE nr 1286/2014 dla kontraktów terminowych na towary.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Kontrakty terminowe na towary są notowane i znajdują się w obrocie na amerykańskich giełdach kontraktów terminowych, które są wyznaczonymi rynkami kontraktów regulowanymi przez amerykańską Komisję ds. Obrotu Kontraktami Terminowymi na Towary ("CFTC") i są rozliczane i rozliczane przez OCC, organizację rozliczającą instrumenty pochodne zarejestrowaną na CFTC.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kontraktów terminowych, inwestorzy mogą znaleźć na stronie internetowej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Ostatnia aktualizacja: 28 grudnia 2022 r. i 20 kwietnia 2023 r.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6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prowadzić obrotu kontraktami terminowymi na towary giełdowe, dopóki nie zapoznają się z treścią niniejszego dokumentu i wszelkimi dodatkowymi informacjami ujawnianymi przez ich brokera, których istotą mogą być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Jednolite kontrakty terminowe i opcje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Stowarzyszenia Branży Kontraktów Terminowych na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 ujawnianie ryzyka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https://lc.fia.org/uniform-futures-and-options-futures-risk-disclosures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należy interpretować w sposób spójny z tymi ujawnieniami.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20955</wp:posOffset>
                </wp:positionV>
                <wp:extent cx="6947535" cy="494220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7535" cy="494220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8499pt;margin-top:1.65pt;width:547.05pt;height:389.1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Towarowy kontrakt terminowy typu futures to umowa między dwiema stronami dotycząca zakupu lub sprzedaży określonej z góry kwoty towaru po określonej cenie w dacie przyszłej.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Osoba, która sprzedaje towarowy kontrakt terminowy typu futures, zawiera umowę sprzedaży towaru bazowego i mówi się, że jest to kontrakt "krótki".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towar bazowy jest zatem pośrednia, ponieważ wartość przyszłej transakcji pochodzi od wartości towaru bazowego.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zapadalności kontraktów terminowych na towary różnią się.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przyszłości.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 amerykańska giełda kontraktów terminowych, na której realizowana jest transakcja, może zmienić warunki kontraktu terminowego lub rozwiązać umowę.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Zdarzenie dotyczące towaru bazowego może również skutkować zmianą warunków kontraktu terminowego zgodnie z zasadami RKO, a metodologia może różnić się od metodologii stosowanej na rynkach europejskich.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3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 terminowy na towary krótkie to umowa sprzedaży określonej z góry kwoty towaru po z góry określonej cenie w określonym terminie przyszłym.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Sprzedający dokonuje zazwyczaj skrótu kontraktu terminowego na towary, oczekując, że cena towaru bazowego spadnie o termin zapadalności kontraktu.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Sprzedający osiągnie zysk brutto, jeżeli wartość towaru bazowego spadnie do momentu zamknięcia transakcji w przyszłości i osiągnie stratę brutto, jeżeli wzrośnie.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ma rekomendowanego okresu utrzymywania kontraktów terminowych na towary.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Kupujący i sprzedający mogą odnosić zyski lub straty w dowolnym momencie, do terminu zapadalności przyszłości włącznie.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Podczas gdy kontrakt terminowy typu future na towary ma z góry określony termin zapadalności, otwartą pozycję można zamknąć, zawierając transakcję kompensacyjną przed terminem zapadalności kontraktu.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Kontrakty terminowe na towary, które nie zostały zlikwidowane przed wygaśnięciem, muszą być rozliczane zgodnie z warunkami kontraktu, co może wymagać rozliczenia gotówkowego.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towarowych kontraktów terminowych rozliczanych w drodze rozrachunku gotówkowego wszelkie pozycje w towarowych kontraktach terminowych otwartych na koniec ostatniego dnia handlowego są rozliczane w drodze ostatecznej płatności gotówkowej opartej na ostatecznej cenie rozliczeniowej bazowego towaru.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przyszłą wartość towaru to wartość instrumentu bazowego oraz jego podatność na wahania cen (zmienność).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60"/>
        <w:spacing w:after="0" w:line="22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określonego rodzaju inwestorów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Towarowe kontrakty terminowe typu future nie są odpowiednie dla wszystkich inwestorów i są przeznaczone wyłącznie dla inwestorów, którzy posiadają gruntowną wiedzę na temat produktu i mogą ponosić potencjalne straty z nim związane oraz związaną z nim strategię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19050</wp:posOffset>
                </wp:positionV>
                <wp:extent cx="696150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1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5pt" to="542.8pt,1.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740"/>
          </w:cols>
          <w:pgMar w:left="940" w:top="699" w:right="56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96214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89.8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86333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633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33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7487285</wp:posOffset>
                </wp:positionH>
                <wp:positionV relativeFrom="page">
                  <wp:posOffset>457200</wp:posOffset>
                </wp:positionV>
                <wp:extent cx="0" cy="886333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633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9.55pt,36pt" to="589.55pt,733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1175385</wp:posOffset>
            </wp:positionH>
            <wp:positionV relativeFrom="paragraph">
              <wp:posOffset>15875</wp:posOffset>
            </wp:positionV>
            <wp:extent cx="4895215" cy="191389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21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1175385</wp:posOffset>
            </wp:positionH>
            <wp:positionV relativeFrom="paragraph">
              <wp:posOffset>15875</wp:posOffset>
            </wp:positionV>
            <wp:extent cx="4895215" cy="19138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21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 lub więcej.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kontraktu futures na krótkie towary zależy od jego warunków, ale może obejmować następujące czynniki:</w:t>
      </w:r>
    </w:p>
    <w:p>
      <w:pPr>
        <w:spacing w:after="0" w:line="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360" w:hanging="214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Obrót kontraktami terminowymi na towary wiąże się z ryzykiem i może skutkować potencjalnie nieograniczonymi stratami, które są większe niż kwota zdeponowana jako depozyt początkowy.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60" w:hanging="214"/>
        <w:spacing w:after="0" w:line="216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Kontrakty terminowe na towary są produktami lewarowanymi.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Niewielkie zmiany cen w przyszłości mogą skutkować dużymi zyskami lub stratami.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Jeśli ruchy na rynkach kontraktów terminowych lub towaru bazowego obniżają wartość Twoich pozycji, możesz być natychmiast zobowiązany do złożenia dodatkowego depozytu zabezpieczającego, a Twoja pozycja może zostać przymusowo upłynniona ze stratą.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38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Jeśli obrót na giełdzie kontraktów terminowych na USA stanie się niedostępny, inwestorzy mogą nie być w stanie zamknąć terminowo pozycji na rynku kontraktów terminowych na towary.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Mogą zaistnieć sytuacje, w których ceny kontraktów terminowych nie będą utrzymywać zwyczajowych lub oczekiwanych relacji z cenami bazowych lub powiązanych z nimi udziałów.</w:t>
      </w:r>
    </w:p>
    <w:p>
      <w:pPr>
        <w:spacing w:after="0" w:line="1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77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16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obrotem lub realizacją kontraktów terminowych na towary będą rozliczane w dolarach amerykańskich, a w konsekwencji wyniki inwestycji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34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0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towarowych kontraktów terminowych.)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20320</wp:posOffset>
                </wp:positionV>
                <wp:extent cx="686435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7pt,1.6pt" to="542.2pt,1.6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13970</wp:posOffset>
                </wp:positionV>
                <wp:extent cx="0" cy="1710055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710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.2pt,1.1pt" to="2.2pt,135.7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3228340</wp:posOffset>
                </wp:positionH>
                <wp:positionV relativeFrom="paragraph">
                  <wp:posOffset>13970</wp:posOffset>
                </wp:positionV>
                <wp:extent cx="0" cy="1710055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710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54.2pt,1.1pt" to="254.2pt,135.7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5111750</wp:posOffset>
                </wp:positionH>
                <wp:positionV relativeFrom="paragraph">
                  <wp:posOffset>892175</wp:posOffset>
                </wp:positionV>
                <wp:extent cx="177419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1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02.5pt,70.25pt" to="542.2pt,70.2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5118100</wp:posOffset>
                </wp:positionH>
                <wp:positionV relativeFrom="paragraph">
                  <wp:posOffset>13970</wp:posOffset>
                </wp:positionV>
                <wp:extent cx="0" cy="1710055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710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03pt,1.1pt" to="403pt,135.75pt" o:allowincell="f" strokecolor="#000000" strokeweight="0.96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720"/>
          </w:cols>
          <w:pgMar w:left="940" w:top="706" w:right="580" w:bottom="631" w:gutter="0" w:footer="0" w:header="0"/>
        </w:sectPr>
      </w:pPr>
    </w:p>
    <w:p>
      <w:pPr>
        <w:spacing w:after="0" w:line="1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left="4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P/L pozycji krótkich kontraktów terminowych</w:t>
      </w:r>
    </w:p>
    <w:p>
      <w:pPr xmlns:w="http://schemas.openxmlformats.org/wordprocessingml/2006/main">
        <w:ind w:left="240"/>
        <w:spacing w:after="0" w:line="18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1000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485140</wp:posOffset>
            </wp:positionH>
            <wp:positionV relativeFrom="paragraph">
              <wp:posOffset>-54610</wp:posOffset>
            </wp:positionV>
            <wp:extent cx="2512060" cy="99568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95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500</w:t>
      </w:r>
    </w:p>
    <w:p>
      <w:pPr>
        <w:spacing w:after="0" w:line="169" w:lineRule="exact"/>
        <w:rPr>
          <w:sz w:val="20"/>
          <w:szCs w:val="20"/>
          <w:color w:val="auto"/>
        </w:rPr>
      </w:pPr>
    </w:p>
    <w:tbl>
      <w:tblPr>
        <w:tblLayout w:type="fixed"/>
        <w:tblInd w:w="2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8"/>
        </w:trPr>
        <w:tc>
          <w:tcPr>
            <w:tcW w:w="200" w:type="dxa"/>
            <w:vAlign w:val="bottom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75"/>
              </w:rPr>
              <w:t xml:space="preserve">P/L</w:t>
            </w:r>
          </w:p>
        </w:tc>
        <w:tc>
          <w:tcPr>
            <w:tcW w:w="2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6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-500</w:t>
      </w:r>
    </w:p>
    <w:p>
      <w:pPr>
        <w:spacing w:after="0" w:line="16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-1000</w:t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40"/>
        <w:spacing w:after="0"/>
        <w:tabs>
          <w:tab w:leader="none" w:pos="1600" w:val="left"/>
          <w:tab w:leader="none" w:pos="2580" w:val="left"/>
          <w:tab w:leader="none" w:pos="3560" w:val="left"/>
          <w:tab w:leader="none" w:pos="456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40 $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45 $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50 $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55 $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595959"/>
        </w:rPr>
        <w:t xml:space="preserve">60 $</w:t>
      </w:r>
    </w:p>
    <w:p>
      <w:pPr xmlns:w="http://schemas.openxmlformats.org/wordprocessingml/2006/main">
        <w:ind w:left="1580"/>
        <w:spacing w:after="0" w:line="18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Cena rynkowa bazowego papieru wartościowego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Naprężony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Wcześniej ustalona cena w terminie zapadalności: $50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Rzeczywista cena rynkowa w terminie zapadalności: 55 USD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44"/>
        <w:spacing w:after="0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sprzedającego (krótki) - 500 USD</w:t>
      </w:r>
    </w:p>
    <w:p>
      <w:pPr>
        <w:spacing w:after="0" w:line="9" w:lineRule="exact"/>
        <w:rPr>
          <w:sz w:val="20"/>
          <w:szCs w:val="20"/>
          <w:color w:val="auto"/>
        </w:rPr>
      </w:pPr>
    </w:p>
    <w:tbl>
      <w:tblPr>
        <w:tblLayout w:type="fixed"/>
        <w:tblInd w:w="1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13"/>
        </w:trPr>
        <w:tc>
          <w:tcPr>
            <w:tcW w:w="1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 xmlns:w="http://schemas.openxmlformats.org/wordprocessingml/2006/main">
              <w:rPr>
                <w:rFonts w:ascii="Symbol" w:cs="Symbol" w:eastAsia="Symbol" w:hAnsi="Symbol"/>
                <w:sz w:val="16"/>
                <w:szCs w:val="16"/>
                <w:color w:val="auto"/>
              </w:rPr>
              <w:t>·</w:t>
            </w: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</w:rPr>
              <w:t xml:space="preserve"> Korzystny dla kupującego (długi)</w:t>
            </w:r>
          </w:p>
        </w:tc>
        <w:tc>
          <w:tcPr>
            <w:tcW w:w="5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</w:rPr>
              <w:t xml:space="preserve">+ 500 $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-3279775</wp:posOffset>
                </wp:positionH>
                <wp:positionV relativeFrom="paragraph">
                  <wp:posOffset>829945</wp:posOffset>
                </wp:positionV>
                <wp:extent cx="6863715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7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58.2499pt,65.35pt" to="282.2pt,65.35pt" o:allowincell="f" strokecolor="#000000" strokeweight="0.96pt"/>
            </w:pict>
          </mc:Fallback>
        </mc:AlternateConten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Wcześniej ustalona cena w terminie zapadalności: $50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Rzeczywista cena rynkowa w terminie zapadalności: 49 USD</w:t>
      </w:r>
    </w:p>
    <w:p>
      <w:pPr>
        <w:spacing w:after="0" w:line="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tabs>
          <w:tab w:leader="none" w:pos="212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sprzedającego (krótki)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+ 100 $</w:t>
      </w:r>
    </w:p>
    <w:p>
      <w:pPr xmlns:w="http://schemas.openxmlformats.org/wordprocessingml/2006/main">
        <w:ind w:left="300" w:hanging="148"/>
        <w:spacing w:after="0" w:line="224" w:lineRule="auto"/>
        <w:tabs>
          <w:tab w:leader="none" w:pos="30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kupującego (długi) - $100</w:t>
      </w:r>
    </w:p>
    <w:p>
      <w:pPr>
        <w:spacing w:after="0" w:line="26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6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ustalona z góry cena jest równa rzeczywistej cenie rynkowej.</w:t>
      </w:r>
    </w:p>
    <w:p>
      <w:pPr>
        <w:spacing w:after="0" w:line="489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3">
            <w:col w:w="4840" w:space="360"/>
            <w:col w:w="2620" w:space="340"/>
            <w:col w:w="2560"/>
          </w:cols>
          <w:pgMar w:left="940" w:top="706" w:right="580" w:bottom="631" w:gutter="0" w:footer="0" w:header="0"/>
          <w:type w:val="continuous"/>
        </w:sectPr>
      </w:pPr>
    </w:p>
    <w:p>
      <w:pPr>
        <w:spacing w:after="0" w:line="9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40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odzyskać.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spadnie.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 z powrotem, będzie się różnić w zależności od tego, jak rozwinie się instrument bazowy, co zależy od przyszłej wydajności rynku, która jest niepewna i nie można jej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ceny wartości bazowej, a oś pionowa pokazuje zysk lub stratę.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Użycie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17780</wp:posOffset>
                </wp:positionV>
                <wp:extent cx="6961505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1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4pt" to="542.8pt,1.4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720"/>
          </w:cols>
          <w:pgMar w:left="940" w:top="706" w:right="580" w:bottom="631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jc w:val="both"/>
        <w:ind w:left="220" w:right="44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962140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89.8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807085</wp:posOffset>
                </wp:positionV>
                <wp:extent cx="696214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3.55pt" to="589.8pt,63.5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2177415</wp:posOffset>
                </wp:positionV>
                <wp:extent cx="696214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71.45pt" to="589.8pt,171.4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6789420</wp:posOffset>
                </wp:positionV>
                <wp:extent cx="6962140" cy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534.6pt" to="589.8pt,534.6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7818120</wp:posOffset>
                </wp:positionV>
                <wp:extent cx="6962140" cy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15.6pt" to="589.8pt,615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828405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284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31.1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7487285</wp:posOffset>
                </wp:positionH>
                <wp:positionV relativeFrom="page">
                  <wp:posOffset>457200</wp:posOffset>
                </wp:positionV>
                <wp:extent cx="0" cy="8828405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284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9.55pt,36pt" to="589.55pt,731.1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Przedstawione dane liczbowe obejmują wszystkie koszty samego produktu, ale mogą nie obejmować wszystkich kosztów, które płacisz swojemu doradcy lub dystrybutorowi i nie uwzględniają Twojej osobistej sytuacji podatkowej, która może również mieć wpływ na to, ile otrzymasz z powrotem.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OCC zostały zaprojektowane w taki sposób, aby wyniki na wszystkich towarowych kontraktach terminowych były pomiędzy OCC a grupą firm maklerskich zwanych członkami rozliczającymi, którzy przenoszą pozycje swoich klientów na ich rachunkach OCC.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są zobowiązani do spełnienia wymogów finansowych UOKiK w zakresie uczestnictwa oraz do ustanowienia zabezpieczenia pozycji swoich klientów.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inwestora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zarządzanie ryzykiem kontrahenta i ułatwianie rozrachunku transakcji terminowych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zobowiązań.</w:t>
      </w:r>
    </w:p>
    <w:p>
      <w:pPr>
        <w:sectPr>
          <w:pgSz w:w="12240" w:h="15840" w:orient="portrait"/>
          <w:cols w:equalWidth="0" w:num="1">
            <w:col w:w="10960"/>
          </w:cols>
          <w:pgMar w:left="720" w:top="774" w:right="560" w:bottom="405" w:gutter="0" w:footer="0" w:header="0"/>
        </w:sectPr>
      </w:pPr>
    </w:p>
    <w:p>
      <w:pPr>
        <w:spacing w:after="0" w:line="8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 w:line="23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Jakie są koszty?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 doradzająca lub sprzedająca Ci ten produkt może naliczyć Ci inne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Jeśli tak, osoba ta przekaże Ci informacje o tych kosztach i ich wpływie na Twoją inwestycję.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Łączne koszty kontraktów terminowych na towary zależą od wielu czynników.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Wymóg dotyczący początkowego depozytu zabezpieczającego to kwota, którą inwestor musi zdeponować u swojego brokera w celu zawarcia kontraktu terminowego na towary.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Kwota ta jest zasadniczo równa określonemu procentowi bieżącej wartości rynkowej zamówienia.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 terminowy na towary jest również wyceniany według wartości rynkowej co najmniej raz dziennie, a rachunek każdego kupującego będzie odzwierciedlał kwotę wszelkich zysków lub strat z tytułu kontraktu w oparciu o dzienny kurs rozliczeniowy kontraktu i mogą być wymagane dodatkowe depozyty zmiennego depozytu zabezpieczającego.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Poszczególne firmy maklerskie mogą również wymagać dodatkowego depozytu zabezpieczającego, wykraczającego poza wymagany przez giełdy OCC i amerykańskie kontrakty terminowe.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mające istotny wpływ na wartość rynkową przyszłego towaru to między innymi cena instrumentu bazowego oraz okres do terminu zapadalności.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kontrakty terminowe wiąże się z dodatkowymi kosztami, które obejmują kwestie podatkowe, koszty transakcji i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0"/>
        </w:trPr>
        <w:tc>
          <w:tcPr>
            <w:tcW w:w="156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</w:tr>
      <w:tr>
        <w:trPr>
          <w:trHeight w:val="249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</w:tr>
      <w:tr>
        <w:trPr>
          <w:trHeight w:val="244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8"/>
              </w:rPr>
              <w:t xml:space="preserve">Roczny wpływ na koszty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</w:tr>
      <w:tr>
        <w:trPr>
          <w:trHeight w:val="247"/>
        </w:trPr>
        <w:tc>
          <w:tcPr>
            <w:tcW w:w="1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41"/>
        </w:trPr>
        <w:tc>
          <w:tcPr>
            <w:tcW w:w="3720" w:type="dxa"/>
            <w:vAlign w:val="bottom"/>
            <w:tcBorders>
              <w:left w:val="single" w:sz="8" w:color="auto"/>
              <w:bottom w:val="single" w:sz="8" w:color="auto"/>
              <w:right w:val="single" w:sz="8" w:color="DADADA"/>
            </w:tcBorders>
            <w:gridSpan w:val="6"/>
            <w:shd w:val="clear" w:color="auto" w:fill="DADADA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49"/>
        </w:trPr>
        <w:tc>
          <w:tcPr>
            <w:tcW w:w="37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</w:tr>
      <w:tr>
        <w:trPr>
          <w:trHeight w:val="205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21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218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36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</w:tr>
      <w:tr>
        <w:trPr>
          <w:trHeight w:val="205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18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36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</w:tr>
      <w:tr>
        <w:trPr>
          <w:trHeight w:val="205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ind w:left="100"/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</w:tr>
      <w:tr>
        <w:trPr>
          <w:trHeight w:val="234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ind w:left="120"/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ind w:left="100"/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</w:tr>
      <w:tr>
        <w:trPr>
          <w:trHeight w:val="205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21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218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08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3"/>
              </w:rPr>
              <w:t xml:space="preserve">opłata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</w:tr>
      <w:tr>
        <w:trPr>
          <w:trHeight w:val="20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18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</w:tr>
      <w:tr>
        <w:trPr>
          <w:trHeight w:val="208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</w:tr>
      <w:tr>
        <w:trPr>
          <w:trHeight w:val="20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37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</w:rPr>
              <w:t xml:space="preserve">Koszty uboczne ponoszone na określonych warunkach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0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</w:tr>
    </w:tbl>
    <w:p>
      <w:pPr>
        <w:spacing w:after="0" w:line="99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5440" w:space="280"/>
            <w:col w:w="5240"/>
          </w:cols>
          <w:pgMar w:left="720" w:top="774" w:right="560" w:bottom="405" w:gutter="0" w:footer="0" w:header="0"/>
          <w:type w:val="continuous"/>
        </w:sectPr>
      </w:pPr>
    </w:p>
    <w:p>
      <w:pPr xmlns:w="http://schemas.openxmlformats.org/wordprocessingml/2006/main">
        <w:jc w:val="both"/>
        <w:ind w:left="220" w:right="22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istotnie wpływają na wynik finansowy.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Koszty transakcyjne obejmują głównie prowizje, ale mogą również obejmować koszty marży i odsetek.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Jeżeli inwestor upłynni pozycję kontraktu terminowego na towary, może ponieść dodatkowe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.</w:t>
      </w:r>
    </w:p>
    <w:p>
      <w:pPr>
        <w:spacing w:after="0" w:line="2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4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ponoszą wyłączną odpowiedzialność za ustalenie, czy i kiedy powinni zamknąć towarową pozycję terminową, czy też utrzymywać tę pozycję do terminu jej zapadalności.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pozycję terminową na towary, rezygnują z wszelkich późniejszych zysków lub strat związanych z tą pozycją.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towarowe kontrakty terminowe mają termin zapadalności, po którym kontrakt przestaje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 może zamknąć otwartą pozycję w towarowych kontraktach terminowych poprzez zawarcie transakcji kompensacyjnej przed terminem zapadalności kontraktu.</w:t>
      </w:r>
    </w:p>
    <w:p>
      <w:pPr>
        <w:spacing w:after="0" w:line="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KOF</w: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https://www.nfa.futures.org/basicnet/complaint.aspx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 lub CFTC</w: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http://www.cftc.gov/ConsumerProtection/FileaTiporComplaint/index.htm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).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40"/>
        <w:spacing w:after="0"/>
        <w:tabs>
          <w:tab w:leader="none" w:pos="486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Krajowe Stowarzyszenie Kontraktów Terminowych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USA.</w:t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 Komisja ds. Obrotu Terminami Towarowymi</w:t>
      </w:r>
    </w:p>
    <w:p>
      <w:pPr xmlns:w="http://schemas.openxmlformats.org/wordprocessingml/2006/main">
        <w:ind w:left="340"/>
        <w:spacing w:after="0"/>
        <w:tabs>
          <w:tab w:leader="none" w:pos="486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300 S. Riverside Plaza, #1800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Centrum Trzech Lafayette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40"/>
        <w:spacing w:after="0"/>
        <w:tabs>
          <w:tab w:leader="none" w:pos="486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Chicago, IL 60606-6615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1155 21st Street, NW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40"/>
        <w:spacing w:after="0"/>
        <w:tabs>
          <w:tab w:leader="none" w:pos="486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Telefon: 312-781-1300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Waszyngton, DC 20581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40"/>
        <w:spacing w:after="0"/>
        <w:tabs>
          <w:tab w:leader="none" w:pos="486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Faks: 312-781-1467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Telefon: 866-366-2382 Faks: 202-418-5521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14605</wp:posOffset>
                </wp:positionV>
                <wp:extent cx="6962140" cy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6pt,1.15pt" to="553.8pt,1.1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960"/>
          </w:cols>
          <w:pgMar w:left="720" w:top="774" w:right="560" w:bottom="405" w:gutter="0" w:footer="0" w:header="0"/>
          <w:type w:val="continuous"/>
        </w:sectPr>
      </w:pPr>
    </w:p>
    <w:p>
      <w:pPr>
        <w:spacing w:after="0" w:line="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960"/>
      </w:cols>
      <w:pgMar w:left="720" w:top="774" w:right="560" w:bottom="405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43B8A94F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8AFE3B9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6DE56AF3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2024-05-21T09:29:42Z</dcterms:created>
  <dcterms:modified xsi:type="dcterms:W3CDTF">2024-05-21T09:29:42Z</dcterms:modified>
</cp:coreProperties>
</file>