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68.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68.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68.4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68.4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Kluczowe informacje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Dokument - Standaryzowana Opcja Na Zadłużenie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Przeznaczenie</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Niniejszy dokument zawiera kluczowe informacje na temat tego produktu inwestycyjnego.</w:t>
      </w:r>
      <w:r>
        <w:rPr xmlns:w="http://schemas.openxmlformats.org/wordprocessingml/2006/main">
          <w:rFonts w:ascii="Calibri" w:cs="Calibri" w:eastAsia="Calibri" w:hAnsi="Calibri"/>
          <w:sz w:val="22"/>
          <w:szCs w:val="22"/>
          <w:color w:val="auto"/>
        </w:rPr>
        <w:t xml:space="preserve"> Nie jest to materiał marketingowy.</w:t>
      </w:r>
      <w:r>
        <w:rPr xmlns:w="http://schemas.openxmlformats.org/wordprocessingml/2006/main">
          <w:rFonts w:ascii="Calibri" w:cs="Calibri" w:eastAsia="Calibri" w:hAnsi="Calibri"/>
          <w:sz w:val="22"/>
          <w:szCs w:val="22"/>
          <w:color w:val="auto"/>
        </w:rPr>
        <w:t xml:space="preserve"> Informacje te są wymagane przez prawo, aby pomóc Ci zrozumieć charakter, ryzyko, koszty, potencjalne zyski i straty tego produktu oraz aby pomóc Ci porównać go z innymi produktami.</w:t>
      </w:r>
      <w:r>
        <w:rPr xmlns:w="http://schemas.openxmlformats.org/wordprocessingml/2006/main">
          <w:rFonts w:ascii="Calibri" w:cs="Calibri" w:eastAsia="Calibri" w:hAnsi="Calibri"/>
          <w:sz w:val="22"/>
          <w:szCs w:val="22"/>
          <w:color w:val="auto"/>
        </w:rPr>
        <w:t xml:space="preserve"> Jest to dokument wyłącznie angielski, nieupoważniony do tłumaczenia na inny język.</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Produkt</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Standardowe Opcje Na Dłużne Papiery Wartościowe W Stanach Zjednoczonych</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Options Clearing Corporation ("UOKiK") udostępnia niniejszy dokument na podstawie Rozporządzenia UE nr 1286/2014 dla standardowych opcji na dłużne papiery wartościowe (a/k/a "opcje notowane").</w:t>
      </w:r>
      <w:r>
        <w:rPr xmlns:w="http://schemas.openxmlformats.org/wordprocessingml/2006/main">
          <w:rFonts w:ascii="Calibri" w:cs="Calibri" w:eastAsia="Calibri" w:hAnsi="Calibri"/>
          <w:sz w:val="22"/>
          <w:szCs w:val="22"/>
          <w:color w:val="auto"/>
        </w:rPr>
        <w:t xml:space="preserve"> Standardowe opcje na dłużne papiery wartościowe są notowane i znajdują się w obrocie na giełdach opcji amerykańskich zarejestrowanych w amerykańskiej Komisji Papierów Wartościowych i Giełd ("SEC") i są emitowane, rozliczane i rozliczane przez OCC, agencję rozliczeniową zarejestrowaną w SEC.</w:t>
      </w:r>
      <w:r>
        <w:rPr xmlns:w="http://schemas.openxmlformats.org/wordprocessingml/2006/main">
          <w:rFonts w:ascii="Calibri" w:cs="Calibri" w:eastAsia="Calibri" w:hAnsi="Calibri"/>
          <w:sz w:val="22"/>
          <w:szCs w:val="22"/>
          <w:color w:val="auto"/>
        </w:rPr>
        <w:t xml:space="preserve"> Więcej informacji, w tym dane kontaktowe amerykańskich giełd opcji, inwestorzy mogą znaleźć na stronie internetowej OCC pod adresem</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lub skontaktować się z OCC pod numerem 1-312-322-6200.</w:t>
      </w:r>
      <w:r>
        <w:rPr xmlns:w="http://schemas.openxmlformats.org/wordprocessingml/2006/main">
          <w:rFonts w:ascii="Calibri" w:cs="Calibri" w:eastAsia="Calibri" w:hAnsi="Calibri"/>
          <w:sz w:val="22"/>
          <w:szCs w:val="22"/>
          <w:color w:val="000000"/>
        </w:rPr>
        <w:t xml:space="preserve"> Zaktualizowany 28 grudnia 2022 i 20 kwietnia 2023.</w:t>
      </w:r>
    </w:p>
    <w:p>
      <w:pPr>
        <w:spacing w:after="0" w:line="83"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Alert.</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Zamierzasz kupić produkt, który nie jest prosty i może być trudny do zrozumienia.</w:t>
      </w:r>
      <w:r>
        <w:rPr xmlns:w="http://schemas.openxmlformats.org/wordprocessingml/2006/main">
          <w:rFonts w:ascii="Calibri" w:cs="Calibri" w:eastAsia="Calibri" w:hAnsi="Calibri"/>
          <w:sz w:val="22"/>
          <w:szCs w:val="22"/>
          <w:color w:val="auto"/>
        </w:rPr>
        <w:t xml:space="preserve"> Inwestorzy nie powinni handlować opcjami na dłużne papiery wartościowe, dopóki nie przeczytają i nie zrozumieją niniejszego dokumentu i powiązanego dokumentu ujawniającego informacje na temat ryzyka, który jest przedkładany SEC, </w:t>
      </w:r>
      <w:r>
        <w:rPr xmlns:w="http://schemas.openxmlformats.org/wordprocessingml/2006/main">
          <w:rFonts w:ascii="Calibri" w:cs="Calibri" w:eastAsia="Calibri" w:hAnsi="Calibri"/>
          <w:sz w:val="22"/>
          <w:szCs w:val="22"/>
          <w:u w:val="single" w:color="auto"/>
          <w:color w:val="auto"/>
        </w:rPr>
        <w:t xml:space="preserve">Charakterystyka i ryzyko opcji standardowych</w:t>
      </w:r>
      <w:r>
        <w:rPr xmlns:w="http://schemas.openxmlformats.org/wordprocessingml/2006/main">
          <w:rFonts w:ascii="Calibri" w:cs="Calibri" w:eastAsia="Calibri" w:hAnsi="Calibri"/>
          <w:sz w:val="22"/>
          <w:szCs w:val="22"/>
          <w:color w:val="auto"/>
        </w:rPr>
        <w:t xml:space="preserve">, zwanego również dokumentem ujawniającym informacje na temat opcji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Ujawnienia w niniejszym dokumencie należy interpretować w sposób zgodny z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1807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Co to za produkt?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w:t>
      </w:r>
    </w:p>
    <w:p>
      <w:pPr>
        <w:spacing w:after="0" w:line="105"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Istnieją dwa rodzaje opcji na dłużne papiery wartościowe.</w:t>
      </w:r>
      <w:r>
        <w:rPr xmlns:w="http://schemas.openxmlformats.org/wordprocessingml/2006/main">
          <w:rFonts w:ascii="Calibri" w:cs="Calibri" w:eastAsia="Calibri" w:hAnsi="Calibri"/>
          <w:sz w:val="22"/>
          <w:szCs w:val="22"/>
          <w:color w:val="auto"/>
        </w:rPr>
        <w:t xml:space="preserve"> Opcje oparte na cenie dają posiadaczowi (kupującemu) prawo do zakupu lub sprzedaży określonego bazowego dłużnego papieru wartościowego lub do otrzymania płatności z tytułu rozliczenia gotówkowego w oparciu o wartość bazowego dłużnego papieru wartościowego.</w:t>
      </w:r>
      <w:r>
        <w:rPr xmlns:w="http://schemas.openxmlformats.org/wordprocessingml/2006/main">
          <w:rFonts w:ascii="Calibri" w:cs="Calibri" w:eastAsia="Calibri" w:hAnsi="Calibri"/>
          <w:sz w:val="22"/>
          <w:szCs w:val="22"/>
          <w:color w:val="auto"/>
        </w:rPr>
        <w:t xml:space="preserve"> Opcje oparte na dochodach dają posiadaczom prawo do otrzymania środków pieniężnych w oparciu o różnicę między ceną wykonania a wartością dochodu bazowego.</w:t>
      </w:r>
      <w:r>
        <w:rPr xmlns:w="http://schemas.openxmlformats.org/wordprocessingml/2006/main">
          <w:rFonts w:ascii="Calibri" w:cs="Calibri" w:eastAsia="Calibri" w:hAnsi="Calibri"/>
          <w:sz w:val="22"/>
          <w:szCs w:val="22"/>
          <w:color w:val="auto"/>
        </w:rPr>
        <w:t xml:space="preserve"> Ekspozycja na bazowy dłużny papier wartościowy jest zatem pośrednia w przypadku obu rodzajów opcji na dłużne papiery wartościowe, ponieważ wartość opcji pochodzi od wartości bazowego papieru wartościowego.</w:t>
      </w:r>
      <w:r>
        <w:rPr xmlns:w="http://schemas.openxmlformats.org/wordprocessingml/2006/main">
          <w:rFonts w:ascii="Calibri" w:cs="Calibri" w:eastAsia="Calibri" w:hAnsi="Calibri"/>
          <w:sz w:val="22"/>
          <w:szCs w:val="22"/>
          <w:color w:val="auto"/>
        </w:rPr>
        <w:t xml:space="preserve"> Terminy ważności opcji na dłużne papiery wartościowe są różne.</w:t>
      </w:r>
      <w:r>
        <w:rPr xmlns:w="http://schemas.openxmlformats.org/wordprocessingml/2006/main">
          <w:rFonts w:ascii="Calibri" w:cs="Calibri" w:eastAsia="Calibri" w:hAnsi="Calibri"/>
          <w:sz w:val="22"/>
          <w:szCs w:val="22"/>
          <w:color w:val="auto"/>
        </w:rPr>
        <w:t xml:space="preserve"> OCC nie może jednostronnie zakończyć opcji.</w:t>
      </w:r>
      <w:r>
        <w:rPr xmlns:w="http://schemas.openxmlformats.org/wordprocessingml/2006/main">
          <w:rFonts w:ascii="Calibri" w:cs="Calibri" w:eastAsia="Calibri" w:hAnsi="Calibri"/>
          <w:sz w:val="22"/>
          <w:szCs w:val="22"/>
          <w:color w:val="auto"/>
        </w:rPr>
        <w:t xml:space="preserve"> W pewnych nadzwyczajnych okolicznościach, w których warunki opcji zostaną jednoznacznie uznane za błędne, giełda, na której wykonywana jest transakcja, może jednostronnie wypowiedzieć opcję w określonym terminie po jej wykonaniu.</w:t>
      </w:r>
      <w:r>
        <w:rPr xmlns:w="http://schemas.openxmlformats.org/wordprocessingml/2006/main">
          <w:rFonts w:ascii="Calibri" w:cs="Calibri" w:eastAsia="Calibri" w:hAnsi="Calibri"/>
          <w:sz w:val="22"/>
          <w:szCs w:val="22"/>
          <w:color w:val="auto"/>
        </w:rPr>
        <w:t xml:space="preserve"> W niektórych przypadkach działanie korporacyjne w odniesieniu do bazowego kapitałowego papieru wartościowego może skutkować zmianą warunków opcji zgodnie z zasadami UOKiK, które mogą różnić się od metodyki stosowanej na europejskich rynkach opcji.</w:t>
      </w:r>
    </w:p>
    <w:p>
      <w:pPr>
        <w:spacing w:after="0" w:line="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Cele</w:t>
      </w:r>
    </w:p>
    <w:p>
      <w:pPr>
        <w:spacing w:after="0" w:line="108" w:lineRule="exact"/>
        <w:rPr>
          <w:sz w:val="24"/>
          <w:szCs w:val="24"/>
          <w:color w:val="auto"/>
        </w:rPr>
      </w:pPr>
    </w:p>
    <w:p>
      <w:pPr xmlns:w="http://schemas.openxmlformats.org/wordprocessingml/2006/main">
        <w:ind w:right="8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Posiadaczem opcji jest osoba, która kupuje prawo z opcji i płaci autorowi (sprzedawcy) bezzwrotną płatność zwaną "premią".</w:t>
      </w:r>
      <w:r>
        <w:rPr xmlns:w="http://schemas.openxmlformats.org/wordprocessingml/2006/main">
          <w:rFonts w:ascii="Calibri" w:cs="Calibri" w:eastAsia="Calibri" w:hAnsi="Calibri"/>
          <w:sz w:val="22"/>
          <w:szCs w:val="22"/>
          <w:color w:val="auto"/>
        </w:rPr>
        <w:t xml:space="preserve"> Osoba wystawiająca opcje jest zobowiązana - jeżeli i w momencie przypisania jej wykonania - do wykonania zobowiązania zgodnie z warunkami zakupu lub sprzedaży bazowego dłużnego papieru wartościowego po cenie wykonania lub do dostarczenia środków pieniężnych w oparciu o różnicę między ceną wykonania a wartością bazowego dłużnego papieru wartościowego.</w:t>
      </w:r>
      <w:r>
        <w:rPr xmlns:w="http://schemas.openxmlformats.org/wordprocessingml/2006/main">
          <w:rFonts w:ascii="Calibri" w:cs="Calibri" w:eastAsia="Calibri" w:hAnsi="Calibri"/>
          <w:sz w:val="22"/>
          <w:szCs w:val="22"/>
          <w:color w:val="auto"/>
        </w:rPr>
        <w:t xml:space="preserve"> Opcja dająca posiadaczowi prawo do zakupu jest opcją kupna, a opcja dająca posiadaczowi prawo do sprzedaży jest opcją sprzedaży.</w:t>
      </w:r>
      <w:r>
        <w:rPr xmlns:w="http://schemas.openxmlformats.org/wordprocessingml/2006/main">
          <w:rFonts w:ascii="Calibri" w:cs="Calibri" w:eastAsia="Calibri" w:hAnsi="Calibri"/>
          <w:sz w:val="22"/>
          <w:szCs w:val="22"/>
          <w:color w:val="auto"/>
        </w:rPr>
        <w:t xml:space="preserve"> Posiadacz może skorzystać z opcji typu amerykańskiego w dowolnym momencie przed wygaśnięciem, natomiast opcja typu europejskiego może być wykonywana tylko w określonym okresie przed wygaśnięciem (</w:t>
      </w:r>
      <w:r>
        <w:rPr xmlns:w="http://schemas.openxmlformats.org/wordprocessingml/2006/main">
          <w:rFonts w:ascii="Calibri" w:cs="Calibri" w:eastAsia="Calibri" w:hAnsi="Calibri"/>
          <w:sz w:val="22"/>
          <w:szCs w:val="22"/>
          <w:i w:val="1"/>
          <w:iCs w:val="1"/>
          <w:color w:val="auto"/>
        </w:rPr>
        <w:t xml:space="preserve">np.</w:t>
      </w:r>
      <w:r>
        <w:rPr xmlns:w="http://schemas.openxmlformats.org/wordprocessingml/2006/main">
          <w:rFonts w:ascii="Calibri" w:cs="Calibri" w:eastAsia="Calibri" w:hAnsi="Calibri"/>
          <w:sz w:val="22"/>
          <w:szCs w:val="22"/>
          <w:color w:val="auto"/>
        </w:rPr>
        <w:t xml:space="preserve"> data wygaśnięcia).</w:t>
      </w:r>
      <w:r>
        <w:rPr xmlns:w="http://schemas.openxmlformats.org/wordprocessingml/2006/main">
          <w:rFonts w:ascii="Calibri" w:cs="Calibri" w:eastAsia="Calibri" w:hAnsi="Calibri"/>
          <w:sz w:val="22"/>
          <w:szCs w:val="22"/>
          <w:color w:val="auto"/>
        </w:rPr>
        <w:t xml:space="preserve"> Opcje oparte na uzysku są zwykle opcjami w stylu europejskim.</w:t>
      </w:r>
      <w:r>
        <w:rPr xmlns:w="http://schemas.openxmlformats.org/wordprocessingml/2006/main">
          <w:rFonts w:ascii="Calibri" w:cs="Calibri" w:eastAsia="Calibri" w:hAnsi="Calibri"/>
          <w:sz w:val="22"/>
          <w:szCs w:val="22"/>
          <w:color w:val="auto"/>
        </w:rPr>
        <w:t xml:space="preserve"> Czynniki wpływające na wartość opcji to cena wykonania opcji, czas do wygaśnięcia opcji oraz wartość bazowego papieru wartościowego i jego podatność na wahania cen (zmienność).</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Zamierzony Inwestor Detaliczny</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Produkt ten nie jest przeznaczony dla konkretnego rodzaju inwestora ani nie jest przeznaczony do realizacji określonego celu inwestycyjnego lub strategii inwestycyjnej.</w:t>
      </w:r>
      <w:r>
        <w:rPr xmlns:w="http://schemas.openxmlformats.org/wordprocessingml/2006/main">
          <w:rFonts w:ascii="Calibri" w:cs="Calibri" w:eastAsia="Calibri" w:hAnsi="Calibri"/>
          <w:sz w:val="22"/>
          <w:szCs w:val="22"/>
          <w:color w:val="auto"/>
        </w:rPr>
        <w:t xml:space="preserve"> Nie jest ona odpowiednia dla wszystkich inwestorów i jest przeznaczona wyłącznie dla inwestorów, którzy dobrze rozumieją produkt i mogą ponieść potencjalne straty związane z nim i związaną z nim strategią inwestycyjną.</w:t>
      </w:r>
      <w:r>
        <w:rPr xmlns:w="http://schemas.openxmlformats.org/wordprocessingml/2006/main">
          <w:rFonts w:ascii="Calibri" w:cs="Calibri" w:eastAsia="Calibri" w:hAnsi="Calibri"/>
          <w:sz w:val="22"/>
          <w:szCs w:val="22"/>
          <w:color w:val="auto"/>
        </w:rPr>
        <w:t xml:space="preserve"> W przypadku pytań dotyczących odpowiedniości prosimy o kontakt z brokerem lub doradcą inwestycyjnym.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00"/>
          </w:cols>
          <w:pgMar w:left="940" w:top="699"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09510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951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2.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909510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951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52.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Jakie jest ryzyko i co mogę dostać w zamian?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Wskaźnik Ryzyka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0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Podsumowujący wskaźnik ryzyka jest wskazówką dotyczącą poziomu ryzyka tego produktu w porównaniu z innymi produktami.</w:t>
      </w:r>
      <w:r>
        <w:rPr xmlns:w="http://schemas.openxmlformats.org/wordprocessingml/2006/main">
          <w:rFonts w:ascii="Calibri" w:cs="Calibri" w:eastAsia="Calibri" w:hAnsi="Calibri"/>
          <w:sz w:val="22"/>
          <w:szCs w:val="22"/>
          <w:color w:val="auto"/>
        </w:rPr>
        <w:t xml:space="preserve"> Pokazuje, jak prawdopodobne jest, że produkt straci pieniądze z powodu zmian na rynkach lub dlatego, że nie jesteśmy w stanie zapłacić.</w:t>
      </w:r>
      <w:r>
        <w:rPr xmlns:w="http://schemas.openxmlformats.org/wordprocessingml/2006/main">
          <w:rFonts w:ascii="Calibri" w:cs="Calibri" w:eastAsia="Calibri" w:hAnsi="Calibri"/>
          <w:sz w:val="22"/>
          <w:szCs w:val="22"/>
          <w:color w:val="auto"/>
        </w:rPr>
        <w:t xml:space="preserve"> Zaklasyfikowaliśmy ten produkt jako 7 z 7, co jest najwyższą klasą ryzyka i ocenia potencjalne straty z przyszłych wyników na bardzo wysokim poziomie.</w:t>
      </w:r>
      <w:r>
        <w:rPr xmlns:w="http://schemas.openxmlformats.org/wordprocessingml/2006/main">
          <w:rFonts w:ascii="Calibri" w:cs="Calibri" w:eastAsia="Calibri" w:hAnsi="Calibri"/>
          <w:sz w:val="22"/>
          <w:szCs w:val="22"/>
          <w:color w:val="auto"/>
        </w:rPr>
        <w:t xml:space="preserve"> Ten produkt nie obejmuje żadnej ochrony przed przyszłą sytuacją rynkową, więc możesz stracić część lub całość inwestycji.</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Profil ryzyka i zysku dla posiadaczy i emitentów zależy od warunków opcji, ale może obejmować:</w:t>
      </w:r>
    </w:p>
    <w:p>
      <w:pPr>
        <w:spacing w:after="0" w:line="79" w:lineRule="exact"/>
        <w:rPr>
          <w:sz w:val="20"/>
          <w:szCs w:val="20"/>
          <w:color w:val="auto"/>
        </w:rPr>
      </w:pPr>
    </w:p>
    <w:p>
      <w:pPr xmlns:w="http://schemas.openxmlformats.org/wordprocessingml/2006/main">
        <w:ind w:left="220" w:right="80" w:hanging="214"/>
        <w:spacing w:after="0" w:line="22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Posiadacz instrumentu bazującego na cenie może stracić całą premię, jeżeli cena wykonania opcji kupna jest wyższa od bieżącej wartości rynkowej instrumentu bazowego lub cena wykonania opcji jest niższa od wartości rynkowej.</w:t>
      </w:r>
      <w:r>
        <w:rPr xmlns:w="http://schemas.openxmlformats.org/wordprocessingml/2006/main">
          <w:rFonts w:ascii="Calibri" w:cs="Calibri" w:eastAsia="Calibri" w:hAnsi="Calibri"/>
          <w:sz w:val="22"/>
          <w:szCs w:val="22"/>
          <w:color w:val="auto"/>
        </w:rPr>
        <w:t xml:space="preserve"> W obu przypadkach mówi się, że opcja wygasa "z pieniędzy".</w:t>
      </w:r>
      <w:r>
        <w:rPr xmlns:w="http://schemas.openxmlformats.org/wordprocessingml/2006/main">
          <w:rFonts w:ascii="Calibri" w:cs="Calibri" w:eastAsia="Calibri" w:hAnsi="Calibri"/>
          <w:sz w:val="22"/>
          <w:szCs w:val="22"/>
          <w:color w:val="auto"/>
        </w:rPr>
        <w:t xml:space="preserve"> Opcje oparte na dochodach wygasają z pieniądza, gdy cena wykonania opcji kupna jest wyższa od dochodu z bazowego dłużnego papieru wartościowego lub, w przypadku opcji sprzedaży, gdy cena wykonania jest niższa od dochodu.</w:t>
      </w:r>
      <w:r>
        <w:rPr xmlns:w="http://schemas.openxmlformats.org/wordprocessingml/2006/main">
          <w:rFonts w:ascii="Calibri" w:cs="Calibri" w:eastAsia="Calibri" w:hAnsi="Calibri"/>
          <w:sz w:val="22"/>
          <w:szCs w:val="22"/>
          <w:color w:val="auto"/>
        </w:rPr>
        <w:t xml:space="preserve"> Posiadacz, który nie sprzeda ani nie skorzysta z opcji przed wygaśnięciem, może stracić całą swoją inwestycję.</w:t>
      </w:r>
    </w:p>
    <w:p>
      <w:pPr>
        <w:spacing w:after="0" w:line="78" w:lineRule="exact"/>
        <w:rPr>
          <w:rFonts w:ascii="Symbol" w:cs="Symbol" w:eastAsia="Symbol" w:hAnsi="Symbol"/>
          <w:sz w:val="22"/>
          <w:szCs w:val="22"/>
          <w:color w:val="auto"/>
        </w:rPr>
      </w:pPr>
    </w:p>
    <w:p>
      <w:pPr xmlns:w="http://schemas.openxmlformats.org/wordprocessingml/2006/main">
        <w:ind w:left="2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amerykańska giełda opcji, na której jedynym przedmiotem obrotu są opcje, stanie się niedostępna, inwestorzy w te opcje nie będą już mogli zawierać transakcji zamknięcia.</w:t>
      </w:r>
      <w:r>
        <w:rPr xmlns:w="http://schemas.openxmlformats.org/wordprocessingml/2006/main">
          <w:rFonts w:ascii="Calibri" w:cs="Calibri" w:eastAsia="Calibri" w:hAnsi="Calibri"/>
          <w:sz w:val="22"/>
          <w:szCs w:val="22"/>
          <w:color w:val="auto"/>
        </w:rPr>
        <w:t xml:space="preserve"> Ponadto mogą wystąpić sytuacje, w których ceny opcji nie utrzymają zwyczajowych lub oczekiwanych relacji z cenami bazowych lub powiązanych z nimi udziałów.</w:t>
      </w:r>
    </w:p>
    <w:p>
      <w:pPr>
        <w:spacing w:after="0" w:line="79" w:lineRule="exact"/>
        <w:rPr>
          <w:rFonts w:ascii="Symbol" w:cs="Symbol" w:eastAsia="Symbol" w:hAnsi="Symbol"/>
          <w:sz w:val="22"/>
          <w:szCs w:val="22"/>
          <w:color w:val="auto"/>
        </w:rPr>
      </w:pPr>
    </w:p>
    <w:p>
      <w:pPr xmlns:w="http://schemas.openxmlformats.org/wordprocessingml/2006/main">
        <w:ind w:left="220" w:right="2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zabezpieczenie zrealizowanej opcji, rozliczanej fizycznie, jest niedostępne, zasady rozliczania OCC mogą wymagać alternatywnej formy rozliczenia, takiej jak rozliczenie gotówkowe.</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Prawo podatkowe w państwie członkowskim pochodzenia inwestora może mieć wpływ na jego zwrot.</w:t>
      </w:r>
    </w:p>
    <w:p>
      <w:pPr>
        <w:spacing w:after="0" w:line="86" w:lineRule="exact"/>
        <w:rPr>
          <w:rFonts w:ascii="Symbol" w:cs="Symbol" w:eastAsia="Symbol" w:hAnsi="Symbol"/>
          <w:sz w:val="22"/>
          <w:szCs w:val="22"/>
          <w:color w:val="auto"/>
        </w:rPr>
      </w:pPr>
    </w:p>
    <w:p>
      <w:pPr xmlns:w="http://schemas.openxmlformats.org/wordprocessingml/2006/main">
        <w:ind w:left="220" w:right="2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Bądź świadomy ryzyka walutowego.</w:t>
      </w:r>
      <w:r>
        <w:rPr xmlns:w="http://schemas.openxmlformats.org/wordprocessingml/2006/main">
          <w:rFonts w:ascii="Calibri" w:cs="Calibri" w:eastAsia="Calibri" w:hAnsi="Calibri"/>
          <w:sz w:val="22"/>
          <w:szCs w:val="22"/>
          <w:b w:val="1"/>
          <w:bCs w:val="1"/>
          <w:color w:val="auto"/>
        </w:rPr>
        <w:t xml:space="preserve"> Wszelkie płatności gotówkowe związane z handlem lub korzystaniem z opcji będą rozliczane w dolarach amerykańskich, a w konsekwencji wyniki inwestycyjne mogą się zmieniać w zależności od wahań kursów walut.</w:t>
      </w:r>
      <w:r>
        <w:rPr xmlns:w="http://schemas.openxmlformats.org/wordprocessingml/2006/main">
          <w:rFonts w:ascii="Calibri" w:cs="Calibri" w:eastAsia="Calibri" w:hAnsi="Calibri"/>
          <w:sz w:val="22"/>
          <w:szCs w:val="22"/>
          <w:b w:val="1"/>
          <w:bCs w:val="1"/>
          <w:color w:val="auto"/>
        </w:rPr>
        <w:t xml:space="preserve"> Ryzyko to nie jest uwzględniane we wskaźniku powyżej.</w:t>
      </w:r>
    </w:p>
    <w:p>
      <w:pPr>
        <w:spacing w:after="0" w:line="108"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Scenariusz wyników</w:t>
      </w:r>
      <w:r>
        <w:rPr xmlns:w="http://schemas.openxmlformats.org/wordprocessingml/2006/main">
          <w:rFonts w:ascii="Calibri" w:cs="Calibri" w:eastAsia="Calibri" w:hAnsi="Calibri"/>
          <w:sz w:val="22"/>
          <w:szCs w:val="22"/>
          <w:color w:val="auto"/>
        </w:rPr>
        <w:t xml:space="preserve"> (Przykłady nie obejmują kosztów prowizji, podatków i innych kosztów transakcyjnych, które mogą mieć wpływ na wartość transakcji i pozycji opcyjnej)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17310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545580" cy="173101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17310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545580" cy="1731010"/>
                    </a:xfrm>
                    <a:prstGeom prst="rect">
                      <a:avLst/>
                    </a:prstGeom>
                    <a:noFill/>
                  </pic:spPr>
                </pic:pic>
              </a:graphicData>
            </a:graphic>
          </wp:anchor>
        </w:drawing>
      </w:r>
    </w:p>
    <w:p>
      <w:pPr>
        <w:sectPr>
          <w:pgSz w:w="12240" w:h="15840" w:orient="portrait"/>
          <w:cols w:equalWidth="0" w:num="1">
            <w:col w:w="10300"/>
          </w:cols>
          <w:pgMar w:left="940" w:top="706" w:right="1000" w:bottom="267" w:gutter="0" w:footer="0" w:header="0"/>
        </w:sectPr>
      </w:pPr>
    </w:p>
    <w:p>
      <w:pPr>
        <w:spacing w:after="0" w:line="165" w:lineRule="exact"/>
        <w:rPr>
          <w:sz w:val="20"/>
          <w:szCs w:val="20"/>
          <w:color w:val="auto"/>
        </w:rPr>
      </w:pPr>
    </w:p>
    <w:tbl>
      <w:tblPr>
        <w:tblLayout w:type="fixed"/>
        <w:tblInd w:w="400" w:type="dxa"/>
        <w:tblCellMar>
          <w:top w:w="0" w:type="dxa"/>
          <w:left w:w="0" w:type="dxa"/>
          <w:bottom w:w="0" w:type="dxa"/>
          <w:right w:w="0" w:type="dxa"/>
        </w:tblCellMar>
      </w:tblPr>
      <w:tr>
        <w:trPr>
          <w:trHeight w:val="208"/>
        </w:trPr>
        <w:tc>
          <w:tcPr>
            <w:tcW w:w="180" w:type="dxa"/>
            <w:vAlign w:val="bottom"/>
          </w:tcPr>
          <w:p>
            <w:pPr>
              <w:spacing w:after="0"/>
              <w:rPr>
                <w:sz w:val="18"/>
                <w:szCs w:val="18"/>
                <w:color w:val="auto"/>
              </w:rPr>
            </w:pPr>
          </w:p>
        </w:tc>
        <w:tc>
          <w:tcPr>
            <w:tcW w:w="5360" w:type="dxa"/>
            <w:vAlign w:val="bottom"/>
            <w:gridSpan w:val="7"/>
          </w:tcPr>
          <w:p>
            <w:pPr xmlns:w="http://schemas.openxmlformats.org/wordprocessingml/2006/main">
              <w:jc w:val="right"/>
              <w:ind w:right="230"/>
              <w:spacing w:after="0"/>
              <w:rPr>
                <w:sz w:val="20"/>
                <w:szCs w:val="20"/>
                <w:color w:val="auto"/>
              </w:rPr>
            </w:pPr>
            <w:r>
              <w:rPr xmlns:w="http://schemas.openxmlformats.org/wordprocessingml/2006/main">
                <w:rFonts w:ascii="Calibri" w:cs="Calibri" w:eastAsia="Calibri" w:hAnsi="Calibri"/>
                <w:sz w:val="17"/>
                <w:szCs w:val="17"/>
                <w:color w:val="595959"/>
              </w:rPr>
              <w:t xml:space="preserve">P/L za utrzymywanie oferty opartej na cenie (Premium $5; Cena ćwiczenia $45)</w:t>
            </w:r>
          </w:p>
        </w:tc>
        <w:tc>
          <w:tcPr>
            <w:tcW w:w="0" w:type="dxa"/>
            <w:vAlign w:val="bottom"/>
          </w:tcPr>
          <w:p>
            <w:pPr>
              <w:spacing w:after="0"/>
              <w:rPr>
                <w:sz w:val="1"/>
                <w:szCs w:val="1"/>
                <w:color w:val="auto"/>
              </w:rPr>
            </w:pPr>
          </w:p>
        </w:tc>
      </w:tr>
      <w:tr>
        <w:trPr>
          <w:trHeight w:val="350"/>
        </w:trPr>
        <w:tc>
          <w:tcPr>
            <w:tcW w:w="180" w:type="dxa"/>
            <w:vAlign w:val="bottom"/>
          </w:tcPr>
          <w:p>
            <w:pPr>
              <w:spacing w:after="0"/>
              <w:rPr>
                <w:sz w:val="24"/>
                <w:szCs w:val="24"/>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30 $</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1"/>
        </w:trPr>
        <w:tc>
          <w:tcPr>
            <w:tcW w:w="180" w:type="dxa"/>
            <w:vAlign w:val="bottom"/>
          </w:tcPr>
          <w:p>
            <w:pPr>
              <w:spacing w:after="0"/>
              <w:rPr>
                <w:sz w:val="24"/>
                <w:szCs w:val="24"/>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8"/>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7"/>
                <w:szCs w:val="17"/>
                <w:color w:val="595959"/>
                <w:w w:val="97"/>
              </w:rPr>
              <w:t xml:space="preserve">P/L</w:t>
            </w: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180" w:type="dxa"/>
            <w:vAlign w:val="bottom"/>
            <w:vMerge w:val="continue"/>
          </w:tcPr>
          <w:p>
            <w:pPr>
              <w:spacing w:after="0"/>
              <w:rPr>
                <w:sz w:val="2"/>
                <w:szCs w:val="2"/>
                <w:color w:val="auto"/>
              </w:rPr>
            </w:pPr>
          </w:p>
        </w:tc>
        <w:tc>
          <w:tcPr>
            <w:tcW w:w="920" w:type="dxa"/>
            <w:vAlign w:val="bottom"/>
          </w:tcPr>
          <w:p>
            <w:pPr>
              <w:spacing w:after="0"/>
              <w:rPr>
                <w:sz w:val="2"/>
                <w:szCs w:val="2"/>
                <w:color w:val="auto"/>
              </w:rPr>
            </w:pPr>
          </w:p>
        </w:tc>
        <w:tc>
          <w:tcPr>
            <w:tcW w:w="780" w:type="dxa"/>
            <w:vAlign w:val="bottom"/>
          </w:tcPr>
          <w:p>
            <w:pPr>
              <w:spacing w:after="0"/>
              <w:rPr>
                <w:sz w:val="2"/>
                <w:szCs w:val="2"/>
                <w:color w:val="auto"/>
              </w:rPr>
            </w:pPr>
          </w:p>
        </w:tc>
        <w:tc>
          <w:tcPr>
            <w:tcW w:w="78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80" w:type="dxa"/>
            <w:vAlign w:val="bottom"/>
          </w:tcPr>
          <w:p>
            <w:pPr>
              <w:spacing w:after="0"/>
              <w:rPr>
                <w:sz w:val="21"/>
                <w:szCs w:val="21"/>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7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1"/>
        </w:trPr>
        <w:tc>
          <w:tcPr>
            <w:tcW w:w="180" w:type="dxa"/>
            <w:vAlign w:val="bottom"/>
          </w:tcPr>
          <w:p>
            <w:pPr>
              <w:spacing w:after="0"/>
              <w:rPr>
                <w:sz w:val="24"/>
                <w:szCs w:val="24"/>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- 10 USD</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920" w:type="dxa"/>
            <w:vAlign w:val="bottom"/>
          </w:tcPr>
          <w:p>
            <w:pPr xmlns:w="http://schemas.openxmlformats.org/wordprocessingml/2006/main">
              <w:jc w:val="right"/>
              <w:ind w:right="191"/>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78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780" w:type="dxa"/>
            <w:vAlign w:val="bottom"/>
          </w:tcPr>
          <w:p>
            <w:pPr xmlns:w="http://schemas.openxmlformats.org/wordprocessingml/2006/main">
              <w:ind w:left="26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780" w:type="dxa"/>
            <w:vAlign w:val="bottom"/>
          </w:tcPr>
          <w:p>
            <w:pPr xmlns:w="http://schemas.openxmlformats.org/wordprocessingml/2006/main">
              <w:jc w:val="right"/>
              <w:ind w:right="17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74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80 $</w:t>
            </w:r>
          </w:p>
        </w:tc>
        <w:tc>
          <w:tcPr>
            <w:tcW w:w="80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120 $</w:t>
            </w:r>
          </w:p>
        </w:tc>
        <w:tc>
          <w:tcPr>
            <w:tcW w:w="0" w:type="dxa"/>
            <w:vAlign w:val="bottom"/>
          </w:tcPr>
          <w:p>
            <w:pPr>
              <w:spacing w:after="0"/>
              <w:rPr>
                <w:sz w:val="1"/>
                <w:szCs w:val="1"/>
                <w:color w:val="auto"/>
              </w:rPr>
            </w:pPr>
          </w:p>
        </w:tc>
      </w:tr>
      <w:tr>
        <w:trPr>
          <w:trHeight w:val="269"/>
        </w:trPr>
        <w:tc>
          <w:tcPr>
            <w:tcW w:w="18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300" w:type="dxa"/>
            <w:vAlign w:val="bottom"/>
            <w:gridSpan w:val="3"/>
          </w:tcPr>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17"/>
                <w:szCs w:val="17"/>
                <w:color w:val="595959"/>
              </w:rPr>
              <w:t xml:space="preserve">Cena rynkowa instrumentu bazowego</w:t>
            </w:r>
          </w:p>
        </w:tc>
        <w:tc>
          <w:tcPr>
            <w:tcW w:w="8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Mechanizm Stressed Market Underlying Move (</w:t>
      </w:r>
      <w:r>
        <w:rPr xmlns:w="http://schemas.openxmlformats.org/wordprocessingml/2006/main">
          <w:rFonts w:ascii="Calibri" w:cs="Calibri" w:eastAsia="Calibri" w:hAnsi="Calibri"/>
          <w:sz w:val="16"/>
          <w:szCs w:val="16"/>
          <w:u w:val="single" w:color="auto"/>
          <w:color w:val="FF0000"/>
        </w:rPr>
        <w:t xml:space="preserve">Czerwony Punkt Wykresu</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Cena rynkowa: $15</w:t>
      </w:r>
    </w:p>
    <w:p>
      <w:pPr>
        <w:spacing w:after="0" w:line="123" w:lineRule="exact"/>
        <w:rPr>
          <w:sz w:val="20"/>
          <w:szCs w:val="20"/>
          <w:color w:val="auto"/>
        </w:rPr>
      </w:pPr>
    </w:p>
    <w:p>
      <w:pPr xmlns:w="http://schemas.openxmlformats.org/wordprocessingml/2006/main">
        <w:ind w:left="720" w:hanging="357"/>
        <w:spacing w:after="0"/>
        <w:tabs>
          <w:tab w:leader="none" w:pos="72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Niekorzystny dla pisarza - $25</w:t>
      </w:r>
    </w:p>
    <w:p>
      <w:pPr xmlns:w="http://schemas.openxmlformats.org/wordprocessingml/2006/main">
        <w:ind w:left="360"/>
        <w:spacing w:after="0" w:line="211" w:lineRule="auto"/>
        <w:tabs>
          <w:tab w:leader="none" w:pos="700" w:val="left"/>
          <w:tab w:leader="none" w:pos="21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Korzystny dla posiadacza</w:t>
        <w:tab xmlns:w="http://schemas.openxmlformats.org/wordprocessingml/2006/main"/>
      </w:r>
      <w:r>
        <w:rPr xmlns:w="http://schemas.openxmlformats.org/wordprocessingml/2006/main">
          <w:rFonts w:ascii="Calibri" w:cs="Calibri" w:eastAsia="Calibri" w:hAnsi="Calibri"/>
          <w:sz w:val="15"/>
          <w:szCs w:val="15"/>
          <w:color w:val="auto"/>
        </w:rPr>
        <w:t xml:space="preserve">+ 25 $</w:t>
      </w:r>
    </w:p>
    <w:p>
      <w:pPr>
        <w:spacing w:after="0" w:line="1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Umiarkowane Przesunięcie Rynkowe (</w:t>
      </w:r>
      <w:r>
        <w:rPr xmlns:w="http://schemas.openxmlformats.org/wordprocessingml/2006/main">
          <w:rFonts w:ascii="Calibri" w:cs="Calibri" w:eastAsia="Calibri" w:hAnsi="Calibri"/>
          <w:sz w:val="16"/>
          <w:szCs w:val="16"/>
          <w:u w:val="single" w:color="auto"/>
          <w:color w:val="00B050"/>
        </w:rPr>
        <w:t xml:space="preserve">Zielony Punkt Wykresu</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Cena rynkowa: $35</w:t>
      </w:r>
    </w:p>
    <w:p>
      <w:pPr>
        <w:spacing w:after="0" w:line="120" w:lineRule="exact"/>
        <w:rPr>
          <w:sz w:val="20"/>
          <w:szCs w:val="20"/>
          <w:color w:val="auto"/>
        </w:rPr>
      </w:pPr>
    </w:p>
    <w:p>
      <w:pPr xmlns:w="http://schemas.openxmlformats.org/wordprocessingml/2006/main">
        <w:ind w:left="720" w:hanging="357"/>
        <w:spacing w:after="0"/>
        <w:tabs>
          <w:tab w:leader="none" w:pos="72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Niekorzystny dla pisarza - $5</w:t>
      </w:r>
    </w:p>
    <w:p>
      <w:pPr xmlns:w="http://schemas.openxmlformats.org/wordprocessingml/2006/main">
        <w:ind w:left="360"/>
        <w:spacing w:after="0" w:line="211" w:lineRule="auto"/>
        <w:tabs>
          <w:tab w:leader="none" w:pos="700" w:val="left"/>
          <w:tab w:leader="none" w:pos="220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Korzystny dla posiadacza</w:t>
        <w:tab xmlns:w="http://schemas.openxmlformats.org/wordprocessingml/2006/main"/>
      </w:r>
      <w:r>
        <w:rPr xmlns:w="http://schemas.openxmlformats.org/wordprocessingml/2006/main">
          <w:rFonts w:ascii="Calibri" w:cs="Calibri" w:eastAsia="Calibri" w:hAnsi="Calibri"/>
          <w:sz w:val="15"/>
          <w:szCs w:val="15"/>
          <w:color w:val="auto"/>
        </w:rPr>
        <w:t xml:space="preserve">+ 5$</w:t>
      </w:r>
    </w:p>
    <w:p>
      <w:pPr>
        <w:spacing w:after="0" w:line="210" w:lineRule="exact"/>
        <w:rPr>
          <w:sz w:val="20"/>
          <w:szCs w:val="20"/>
          <w:color w:val="auto"/>
        </w:rPr>
      </w:pPr>
    </w:p>
    <w:p>
      <w:pPr xmlns:w="http://schemas.openxmlformats.org/wordprocessingml/2006/main">
        <w:ind w:right="18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Wartość Break Even Point występuje, gdy cena bazowa jest równa cenie wykonania minus premia.</w:t>
      </w:r>
    </w:p>
    <w:p>
      <w:pPr>
        <w:spacing w:after="0" w:line="72" w:lineRule="exact"/>
        <w:rPr>
          <w:sz w:val="20"/>
          <w:szCs w:val="20"/>
          <w:color w:val="auto"/>
        </w:rPr>
      </w:pPr>
    </w:p>
    <w:p>
      <w:pPr>
        <w:sectPr>
          <w:pgSz w:w="12240" w:h="15840" w:orient="portrait"/>
          <w:cols w:equalWidth="0" w:num="2">
            <w:col w:w="5940" w:space="420"/>
            <w:col w:w="3940"/>
          </w:cols>
          <w:pgMar w:left="940" w:top="706" w:right="1000" w:bottom="267" w:gutter="0" w:footer="0" w:header="0"/>
          <w:type w:val="continuous"/>
        </w:sect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Wykres ilustruje, jak Twoja inwestycja może się sprawdzić.</w:t>
      </w:r>
      <w:r>
        <w:rPr xmlns:w="http://schemas.openxmlformats.org/wordprocessingml/2006/main">
          <w:rFonts w:ascii="Calibri" w:cs="Calibri" w:eastAsia="Calibri" w:hAnsi="Calibri"/>
          <w:sz w:val="22"/>
          <w:szCs w:val="22"/>
          <w:color w:val="auto"/>
        </w:rPr>
        <w:t xml:space="preserve"> Można to porównać do wykresów wypłat dla innych instrumentów pochodnych.</w:t>
      </w:r>
      <w:r>
        <w:rPr xmlns:w="http://schemas.openxmlformats.org/wordprocessingml/2006/main">
          <w:rFonts w:ascii="Calibri" w:cs="Calibri" w:eastAsia="Calibri" w:hAnsi="Calibri"/>
          <w:sz w:val="22"/>
          <w:szCs w:val="22"/>
          <w:color w:val="auto"/>
        </w:rPr>
        <w:t xml:space="preserve"> Wykres przedstawia szereg możliwych wyników i nie jest dokładną wskazówką, co możesz otrzymać.</w:t>
      </w:r>
      <w:r>
        <w:rPr xmlns:w="http://schemas.openxmlformats.org/wordprocessingml/2006/main">
          <w:rFonts w:ascii="Calibri" w:cs="Calibri" w:eastAsia="Calibri" w:hAnsi="Calibri"/>
          <w:sz w:val="22"/>
          <w:szCs w:val="22"/>
          <w:color w:val="auto"/>
        </w:rPr>
        <w:t xml:space="preserve"> Inwestowanie w ten produkt oznacza, że uważasz, że cena bazowa spadnie.</w:t>
      </w:r>
      <w:r>
        <w:rPr xmlns:w="http://schemas.openxmlformats.org/wordprocessingml/2006/main">
          <w:rFonts w:ascii="Calibri" w:cs="Calibri" w:eastAsia="Calibri" w:hAnsi="Calibri"/>
          <w:sz w:val="22"/>
          <w:szCs w:val="22"/>
          <w:color w:val="auto"/>
        </w:rPr>
        <w:t xml:space="preserve"> To, co otrzymasz różni się w zależności od tego, jak wartość instrumentu bazowego zmienia się w czasie i co zależy od przyszłych wyników rynkowych, które są niepewne i nie można ich przewidzieć.</w:t>
      </w:r>
      <w:r>
        <w:rPr xmlns:w="http://schemas.openxmlformats.org/wordprocessingml/2006/main">
          <w:rFonts w:ascii="Calibri" w:cs="Calibri" w:eastAsia="Calibri" w:hAnsi="Calibri"/>
          <w:sz w:val="22"/>
          <w:szCs w:val="22"/>
          <w:color w:val="auto"/>
        </w:rPr>
        <w:t xml:space="preserve"> Dla dwóch wartości instrumentu bazowego wykres pokazuje, jaki byłby zysk lub strata produktu.</w:t>
      </w:r>
      <w:r>
        <w:rPr xmlns:w="http://schemas.openxmlformats.org/wordprocessingml/2006/main">
          <w:rFonts w:ascii="Calibri" w:cs="Calibri" w:eastAsia="Calibri" w:hAnsi="Calibri"/>
          <w:sz w:val="22"/>
          <w:szCs w:val="22"/>
          <w:color w:val="auto"/>
        </w:rPr>
        <w:t xml:space="preserve"> Oś pozioma pokazuje możliwe wartości linii bazowej, a oś pionowa pokazuje zysk lub stratę opcji.</w:t>
      </w:r>
      <w:r>
        <w:rPr xmlns:w="http://schemas.openxmlformats.org/wordprocessingml/2006/main">
          <w:rFonts w:ascii="Calibri" w:cs="Calibri" w:eastAsia="Calibri" w:hAnsi="Calibri"/>
          <w:sz w:val="22"/>
          <w:szCs w:val="22"/>
          <w:color w:val="auto"/>
        </w:rPr>
        <w:t xml:space="preserve"> Podane liczby obejmują wszystkie koszty samego produktu, ale mogą nie obejmować wszystkich kosztów, które płacisz swojemu doradcy lub dystrybutorowi i nie uwzględniają Twojej osobistej sytuacji podatkowej, która może mieć również wpływ na to, ile otrzymasz.</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19050</wp:posOffset>
                </wp:positionV>
                <wp:extent cx="668972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pt" to="521.4pt,1.5pt" o:allowincell="f" strokecolor="#000000" strokeweight="0.4799pt"/>
            </w:pict>
          </mc:Fallback>
        </mc:AlternateContent>
      </w:r>
    </w:p>
    <w:p>
      <w:pPr>
        <w:sectPr>
          <w:pgSz w:w="12240" w:h="15840" w:orient="portrait"/>
          <w:cols w:equalWidth="0" w:num="1">
            <w:col w:w="10300"/>
          </w:cols>
          <w:pgMar w:left="940" w:top="706" w:right="1000" w:bottom="267" w:gutter="0" w:footer="0" w:header="0"/>
          <w:type w:val="continuous"/>
        </w:sectPr>
      </w:pPr>
    </w:p>
    <w:bookmarkStart w:id="2" w:name="page3"/>
    <w:bookmarkEnd w:id="2"/>
    <w:p>
      <w:pPr xmlns:w="http://schemas.openxmlformats.org/wordprocessingml/2006/main">
        <w:ind w:left="220" w:right="4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2171700</wp:posOffset>
                </wp:positionV>
                <wp:extent cx="669036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71pt" to="568.4pt,17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6271260</wp:posOffset>
                </wp:positionV>
                <wp:extent cx="669036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493.8pt" to="568.4pt,493.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7811770</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5.1pt" to="568.4pt,615.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0016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0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0016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0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3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Co się stanie, jeśli OCC nie będzie w stanie wypłacić?</w:t>
      </w:r>
      <w:r>
        <w:rPr xmlns:w="http://schemas.openxmlformats.org/wordprocessingml/2006/main">
          <w:rFonts w:ascii="Calibri" w:cs="Calibri" w:eastAsia="Calibri" w:hAnsi="Calibri"/>
          <w:sz w:val="22"/>
          <w:szCs w:val="22"/>
          <w:color w:val="auto"/>
        </w:rPr>
        <w:t xml:space="preserve"> Zasady UOKiK zostały zaprojektowane w taki sposób, aby wyniki dotyczące wszystkich opcji były pomiędzy UOKiK a grupą firm maklerskich zwanych członkami rozliczającymi, które posiadają pozycje wszystkich posiadaczy opcji i emitentów na swoich rachunkach UOKiK.</w:t>
      </w:r>
      <w:r>
        <w:rPr xmlns:w="http://schemas.openxmlformats.org/wordprocessingml/2006/main">
          <w:rFonts w:ascii="Calibri" w:cs="Calibri" w:eastAsia="Calibri" w:hAnsi="Calibri"/>
          <w:sz w:val="22"/>
          <w:szCs w:val="22"/>
          <w:color w:val="auto"/>
        </w:rPr>
        <w:t xml:space="preserve"> Członkowie rozliczający muszą spełniać wymogi finansowe UOKiK w zakresie uczestnictwa oraz ustanawiać zabezpieczenia dla pozycji emitentów opcji, które są przez nich notowane.</w:t>
      </w:r>
      <w:r>
        <w:rPr xmlns:w="http://schemas.openxmlformats.org/wordprocessingml/2006/main">
          <w:rFonts w:ascii="Calibri" w:cs="Calibri" w:eastAsia="Calibri" w:hAnsi="Calibri"/>
          <w:sz w:val="22"/>
          <w:szCs w:val="22"/>
          <w:color w:val="auto"/>
        </w:rPr>
        <w:t xml:space="preserve"> Biuro maklerskie emitenta może wymagać od inwestora dostarczenia powiązanych zabezpieczeń w związku z pozycjami, jak opisano poniżej.</w:t>
      </w:r>
      <w:r>
        <w:rPr xmlns:w="http://schemas.openxmlformats.org/wordprocessingml/2006/main">
          <w:rFonts w:ascii="Calibri" w:cs="Calibri" w:eastAsia="Calibri" w:hAnsi="Calibri"/>
          <w:sz w:val="22"/>
          <w:szCs w:val="22"/>
          <w:color w:val="auto"/>
        </w:rPr>
        <w:t xml:space="preserve"> W procesie nowacji prawnej OCC staje się kupującym dla każdego sprzedającego członka rozliczającego, a sprzedającym dla każdego kupującego członka rozliczającego.</w:t>
      </w:r>
      <w:r>
        <w:rPr xmlns:w="http://schemas.openxmlformats.org/wordprocessingml/2006/main">
          <w:rFonts w:ascii="Calibri" w:cs="Calibri" w:eastAsia="Calibri" w:hAnsi="Calibri"/>
          <w:sz w:val="22"/>
          <w:szCs w:val="22"/>
          <w:color w:val="auto"/>
        </w:rPr>
        <w:t xml:space="preserve"> System ten ma na celu wsparcie realizacji opcji oraz zarządzanie ryzykiem kontrahenta, aby ułatwić rozrachunek transakcji opcjami w przypadku, gdy członek rozliczający nie wywiązuje się ze swoich zobowiązań.</w:t>
      </w:r>
      <w:r>
        <w:rPr xmlns:w="http://schemas.openxmlformats.org/wordprocessingml/2006/main">
          <w:rFonts w:ascii="Calibri" w:cs="Calibri" w:eastAsia="Calibri" w:hAnsi="Calibri"/>
          <w:sz w:val="22"/>
          <w:szCs w:val="22"/>
          <w:color w:val="auto"/>
        </w:rPr>
        <w:t xml:space="preserve"> Istnieje jednak ryzyko, że OCC może nie mieć wystarczających środków finansowych na uregulowanie zobowiązań i możesz ponieść stratę do wysokości każdej kwoty należnej.</w:t>
      </w:r>
    </w:p>
    <w:p>
      <w:pPr>
        <w:sectPr>
          <w:pgSz w:w="12240" w:h="15840" w:orient="portrait"/>
          <w:cols w:equalWidth="0" w:num="1">
            <w:col w:w="10520"/>
          </w:cols>
          <w:pgMar w:left="720" w:top="774" w:right="1000" w:bottom="293" w:gutter="0" w:footer="0" w:header="0"/>
        </w:sectPr>
      </w:pPr>
    </w:p>
    <w:p>
      <w:pPr>
        <w:spacing w:after="0" w:line="77" w:lineRule="exact"/>
        <w:rPr>
          <w:sz w:val="20"/>
          <w:szCs w:val="20"/>
          <w:color w:val="auto"/>
        </w:rPr>
      </w:pPr>
    </w:p>
    <w:p>
      <w:pPr xmlns:w="http://schemas.openxmlformats.org/wordprocessingml/2006/main">
        <w:ind w:left="220"/>
        <w:spacing w:after="0" w:line="23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Jakie są koszty?</w:t>
      </w:r>
      <w:r>
        <w:rPr xmlns:w="http://schemas.openxmlformats.org/wordprocessingml/2006/main">
          <w:rFonts w:ascii="Calibri" w:cs="Calibri" w:eastAsia="Calibri" w:hAnsi="Calibri"/>
          <w:sz w:val="22"/>
          <w:szCs w:val="22"/>
          <w:b w:val="1"/>
          <w:bCs w:val="1"/>
          <w:color w:val="auto"/>
        </w:rPr>
        <w:t xml:space="preserve"> Co?</w:t>
      </w:r>
      <w:r>
        <w:rPr xmlns:w="http://schemas.openxmlformats.org/wordprocessingml/2006/main">
          <w:rFonts w:ascii="Calibri" w:cs="Calibri" w:eastAsia="Calibri" w:hAnsi="Calibri"/>
          <w:sz w:val="22"/>
          <w:szCs w:val="22"/>
          <w:color w:val="auto"/>
        </w:rPr>
        <w:t xml:space="preserve"> Osoba doradzająca lub sprzedająca Ci ten produkt może naliczyć Ci inne koszty.</w:t>
      </w:r>
      <w:r>
        <w:rPr xmlns:w="http://schemas.openxmlformats.org/wordprocessingml/2006/main">
          <w:rFonts w:ascii="Calibri" w:cs="Calibri" w:eastAsia="Calibri" w:hAnsi="Calibri"/>
          <w:sz w:val="22"/>
          <w:szCs w:val="22"/>
          <w:color w:val="auto"/>
        </w:rPr>
        <w:t xml:space="preserve"> Jeśli tak, osoba ta przekaże Ci informacje o tych kosztach i ich wpływie na Twoją inwestycję.</w:t>
      </w:r>
      <w:r>
        <w:rPr xmlns:w="http://schemas.openxmlformats.org/wordprocessingml/2006/main">
          <w:rFonts w:ascii="Calibri" w:cs="Calibri" w:eastAsia="Calibri" w:hAnsi="Calibri"/>
          <w:sz w:val="22"/>
          <w:szCs w:val="22"/>
          <w:color w:val="auto"/>
        </w:rPr>
        <w:t xml:space="preserve"> Łączne koszty opcji na dłużne papiery wartościowe zależą od wielu czynników.</w:t>
      </w:r>
      <w:r>
        <w:rPr xmlns:w="http://schemas.openxmlformats.org/wordprocessingml/2006/main">
          <w:rFonts w:ascii="Calibri" w:cs="Calibri" w:eastAsia="Calibri" w:hAnsi="Calibri"/>
          <w:sz w:val="22"/>
          <w:szCs w:val="22"/>
          <w:color w:val="auto"/>
        </w:rPr>
        <w:t xml:space="preserve"> Premia opcyjna to koszt zapłacony przez posiadacza na rzecz podmiotu zapisującego.</w:t>
      </w:r>
      <w:r>
        <w:rPr xmlns:w="http://schemas.openxmlformats.org/wordprocessingml/2006/main">
          <w:rFonts w:ascii="Calibri" w:cs="Calibri" w:eastAsia="Calibri" w:hAnsi="Calibri"/>
          <w:sz w:val="22"/>
          <w:szCs w:val="22"/>
          <w:color w:val="auto"/>
        </w:rPr>
        <w:t xml:space="preserve"> Czynniki mające istotny wpływ na premię obejmują między innymi cenę/zysk bazowego papieru wartościowego, czas do wygaśnięcia opcji oraz cenę wykonania.</w:t>
      </w:r>
      <w:r>
        <w:rPr xmlns:w="http://schemas.openxmlformats.org/wordprocessingml/2006/main">
          <w:rFonts w:ascii="Calibri" w:cs="Calibri" w:eastAsia="Calibri" w:hAnsi="Calibri"/>
          <w:sz w:val="22"/>
          <w:szCs w:val="22"/>
          <w:color w:val="auto"/>
        </w:rPr>
        <w:t xml:space="preserve"> Inwestowanie w opcje wiąże się z dodatkowymi kosztami, które obejmują kwestie podatkowe, koszty transakcji i wymogi dotyczące marży, które mogą znacząco wpłynąć na zysk lub stratę.</w:t>
      </w:r>
      <w:r>
        <w:rPr xmlns:w="http://schemas.openxmlformats.org/wordprocessingml/2006/main">
          <w:rFonts w:ascii="Calibri" w:cs="Calibri" w:eastAsia="Calibri" w:hAnsi="Calibri"/>
          <w:sz w:val="22"/>
          <w:szCs w:val="22"/>
          <w:color w:val="auto"/>
        </w:rPr>
        <w:t xml:space="preserve"> Na koszty transakcyjne składają się głównie prowizje (które są nakładane w transakcjach otwarcia, zamknięcia, wykonania i cesji), ale mogą również obejmować koszty marży i odsetek.</w:t>
      </w:r>
      <w:r>
        <w:rPr xmlns:w="http://schemas.openxmlformats.org/wordprocessingml/2006/main">
          <w:rFonts w:ascii="Calibri" w:cs="Calibri" w:eastAsia="Calibri" w:hAnsi="Calibri"/>
          <w:sz w:val="22"/>
          <w:szCs w:val="22"/>
          <w:color w:val="auto"/>
        </w:rPr>
        <w:t xml:space="preserve"> Depozyt zabezpieczający oznacza aktywa, które emitent musi zdeponować w swojej firmie maklerskiej jako zabezpieczenie zobowiązania, stosownie do przypadku, do zakupu lub sprzedaży bazowych odsetek lub zapłaty kwoty rozliczenia gotówkowego.</w:t>
      </w:r>
      <w:r>
        <w:rPr xmlns:w="http://schemas.openxmlformats.org/wordprocessingml/2006/main">
          <w:rFonts w:ascii="Calibri" w:cs="Calibri" w:eastAsia="Calibri" w:hAnsi="Calibri"/>
          <w:sz w:val="22"/>
          <w:szCs w:val="22"/>
          <w:color w:val="auto"/>
        </w:rPr>
        <w:t xml:space="preserve"> W przypadku wykonania i przypisania opcji</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280"/>
        </w:trPr>
        <w:tc>
          <w:tcPr>
            <w:tcW w:w="1560" w:type="dxa"/>
            <w:vAlign w:val="bottom"/>
            <w:tcBorders>
              <w:top w:val="single" w:sz="8" w:color="auto"/>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Koszty W Czasie</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40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520" w:type="dxa"/>
            <w:vAlign w:val="bottom"/>
            <w:tcBorders>
              <w:top w:val="single" w:sz="8" w:color="auto"/>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Zakończenie pracy</w:t>
            </w:r>
          </w:p>
        </w:tc>
      </w:tr>
      <w:tr>
        <w:trPr>
          <w:trHeight w:val="249"/>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Koszty ogółem</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r>
      <w:tr>
        <w:trPr>
          <w:trHeight w:val="244"/>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w w:val="98"/>
              </w:rPr>
              <w:t xml:space="preserve">Roczny wpływ na koszty</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r>
      <w:tr>
        <w:trPr>
          <w:trHeight w:val="247"/>
        </w:trPr>
        <w:tc>
          <w:tcPr>
            <w:tcW w:w="1560" w:type="dxa"/>
            <w:vAlign w:val="bottom"/>
            <w:tcBorders>
              <w:bottom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tcBorders>
          </w:tcPr>
          <w:p>
            <w:pPr>
              <w:spacing w:after="0"/>
              <w:rPr>
                <w:sz w:val="21"/>
                <w:szCs w:val="21"/>
                <w:color w:val="auto"/>
              </w:rPr>
            </w:pPr>
          </w:p>
        </w:tc>
        <w:tc>
          <w:tcPr>
            <w:tcW w:w="1520" w:type="dxa"/>
            <w:vAlign w:val="bottom"/>
            <w:tcBorders>
              <w:bottom w:val="single" w:sz="8" w:color="auto"/>
            </w:tcBorders>
          </w:tcPr>
          <w:p>
            <w:pPr>
              <w:spacing w:after="0"/>
              <w:rPr>
                <w:sz w:val="21"/>
                <w:szCs w:val="21"/>
                <w:color w:val="auto"/>
              </w:rPr>
            </w:pPr>
          </w:p>
        </w:tc>
      </w:tr>
      <w:tr>
        <w:trPr>
          <w:trHeight w:val="240"/>
        </w:trPr>
        <w:tc>
          <w:tcPr>
            <w:tcW w:w="3720" w:type="dxa"/>
            <w:vAlign w:val="bottom"/>
            <w:tcBorders>
              <w:left w:val="single" w:sz="8" w:color="auto"/>
              <w:bottom w:val="single" w:sz="8" w:color="auto"/>
              <w:right w:val="single" w:sz="8" w:color="DADADA"/>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Struktura kosztów</w:t>
            </w:r>
          </w:p>
        </w:tc>
        <w:tc>
          <w:tcPr>
            <w:tcW w:w="1520" w:type="dxa"/>
            <w:vAlign w:val="bottom"/>
            <w:tcBorders>
              <w:bottom w:val="single" w:sz="8" w:color="auto"/>
              <w:right w:val="single" w:sz="8" w:color="auto"/>
            </w:tcBorders>
            <w:shd w:val="clear" w:color="auto" w:fill="DADADA"/>
          </w:tcPr>
          <w:p>
            <w:pPr>
              <w:spacing w:after="0"/>
              <w:rPr>
                <w:sz w:val="20"/>
                <w:szCs w:val="20"/>
                <w:color w:val="auto"/>
              </w:rPr>
            </w:pPr>
          </w:p>
        </w:tc>
      </w:tr>
      <w:tr>
        <w:trPr>
          <w:trHeight w:val="249"/>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Jednorazowe koszty przy wjeździe lub wyjeździe</w:t>
            </w:r>
          </w:p>
        </w:tc>
        <w:tc>
          <w:tcPr>
            <w:tcW w:w="152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Kwota (początkowa)</w:t>
            </w:r>
          </w:p>
        </w:tc>
      </w:tr>
      <w:tr>
        <w:trPr>
          <w:trHeight w:val="205"/>
        </w:trPr>
        <w:tc>
          <w:tcPr>
            <w:tcW w:w="1560" w:type="dxa"/>
            <w:vAlign w:val="bottom"/>
            <w:tcBorders>
              <w:left w:val="single" w:sz="8" w:color="auto"/>
              <w:right w:val="single" w:sz="8" w:color="auto"/>
            </w:tcBorders>
          </w:tcPr>
          <w:p>
            <w:pPr>
              <w:spacing w:after="0"/>
              <w:rPr>
                <w:sz w:val="17"/>
                <w:szCs w:val="17"/>
                <w:color w:val="auto"/>
              </w:rPr>
            </w:pP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Premia (określona przez</w:t>
            </w:r>
          </w:p>
        </w:tc>
        <w:tc>
          <w:tcPr>
            <w:tcW w:w="152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Koszty wejścia (na</w:t>
            </w:r>
          </w:p>
        </w:tc>
        <w:tc>
          <w:tcPr>
            <w:tcW w:w="80" w:type="dxa"/>
            <w:vAlign w:val="bottom"/>
          </w:tcPr>
          <w:p>
            <w:pPr>
              <w:spacing w:after="0"/>
              <w:rPr>
                <w:sz w:val="18"/>
                <w:szCs w:val="18"/>
                <w:color w:val="auto"/>
              </w:rPr>
            </w:pPr>
          </w:p>
        </w:tc>
        <w:tc>
          <w:tcPr>
            <w:tcW w:w="208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kupującego i sprzedającego),</w:t>
            </w:r>
          </w:p>
        </w:tc>
        <w:tc>
          <w:tcPr>
            <w:tcW w:w="152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Komisja (ustalona</w:t>
            </w:r>
          </w:p>
        </w:tc>
        <w:tc>
          <w:tcPr>
            <w:tcW w:w="152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otwarcie (wejście)</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przez biuro maklerskie)</w:t>
            </w: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Zmienna</w:t>
            </w:r>
          </w:p>
        </w:tc>
      </w:tr>
      <w:tr>
        <w:trPr>
          <w:trHeight w:val="202"/>
        </w:trPr>
        <w:tc>
          <w:tcPr>
            <w:tcW w:w="1560" w:type="dxa"/>
            <w:vAlign w:val="bottom"/>
            <w:tcBorders>
              <w:left w:val="single" w:sz="8" w:color="auto"/>
              <w:right w:val="single" w:sz="8" w:color="auto"/>
            </w:tcBorders>
          </w:tcPr>
          <w:p>
            <w:pPr xmlns:w="http://schemas.openxmlformats.org/wordprocessingml/2006/main">
              <w:ind w:left="12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Koszty wyjścia (na</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20" w:type="dxa"/>
            <w:vAlign w:val="bottom"/>
            <w:tcBorders>
              <w:right w:val="single" w:sz="8" w:color="auto"/>
            </w:tcBorders>
          </w:tcPr>
          <w:p>
            <w:pPr>
              <w:spacing w:after="0"/>
              <w:rPr>
                <w:sz w:val="17"/>
                <w:szCs w:val="17"/>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00" w:type="dxa"/>
            <w:vAlign w:val="bottom"/>
            <w:tcBorders>
              <w:right w:val="single" w:sz="8" w:color="auto"/>
            </w:tcBorders>
          </w:tcPr>
          <w:p>
            <w:pPr>
              <w:spacing w:after="0"/>
              <w:rPr>
                <w:sz w:val="19"/>
                <w:szCs w:val="19"/>
                <w:color w:val="auto"/>
              </w:rPr>
            </w:pPr>
          </w:p>
        </w:tc>
        <w:tc>
          <w:tcPr>
            <w:tcW w:w="152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zamykanie (wyjście)</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Premium, Komisja</w:t>
            </w: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Zmienna</w:t>
            </w:r>
          </w:p>
        </w:tc>
      </w:tr>
      <w:tr>
        <w:trPr>
          <w:trHeight w:val="202"/>
        </w:trPr>
        <w:tc>
          <w:tcPr>
            <w:tcW w:w="1560" w:type="dxa"/>
            <w:vAlign w:val="bottom"/>
            <w:tcBorders>
              <w:left w:val="single" w:sz="8" w:color="auto"/>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400" w:type="dxa"/>
            <w:vAlign w:val="bottom"/>
            <w:tcBorders>
              <w:right w:val="single" w:sz="8" w:color="auto"/>
            </w:tcBorders>
            <w:shd w:val="clear" w:color="auto" w:fill="DADADA"/>
          </w:tcPr>
          <w:p>
            <w:pPr>
              <w:spacing w:after="0"/>
              <w:rPr>
                <w:sz w:val="17"/>
                <w:szCs w:val="17"/>
                <w:color w:val="auto"/>
              </w:rPr>
            </w:pPr>
          </w:p>
        </w:tc>
        <w:tc>
          <w:tcPr>
            <w:tcW w:w="1520" w:type="dxa"/>
            <w:vAlign w:val="bottom"/>
            <w:tcBorders>
              <w:right w:val="single" w:sz="8" w:color="auto"/>
            </w:tcBorders>
            <w:shd w:val="clear" w:color="auto" w:fill="DADADA"/>
          </w:tcPr>
          <w:p>
            <w:pPr xmlns:w="http://schemas.openxmlformats.org/wordprocessingml/2006/main">
              <w:ind w:left="8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Kwota (w dowolnej</w:t>
            </w:r>
          </w:p>
        </w:tc>
      </w:tr>
      <w:tr>
        <w:trPr>
          <w:trHeight w:val="236"/>
        </w:trPr>
        <w:tc>
          <w:tcPr>
            <w:tcW w:w="1560" w:type="dxa"/>
            <w:vAlign w:val="bottom"/>
            <w:tcBorders>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Koszty Bieżące</w:t>
            </w:r>
          </w:p>
        </w:tc>
        <w:tc>
          <w:tcPr>
            <w:tcW w:w="80" w:type="dxa"/>
            <w:vAlign w:val="bottom"/>
            <w:tcBorders>
              <w:bottom w:val="single" w:sz="8" w:color="auto"/>
            </w:tcBorders>
            <w:shd w:val="clear" w:color="auto" w:fill="DADADA"/>
          </w:tcPr>
          <w:p>
            <w:pPr>
              <w:spacing w:after="0"/>
              <w:rPr>
                <w:sz w:val="20"/>
                <w:szCs w:val="20"/>
                <w:color w:val="auto"/>
              </w:rPr>
            </w:pPr>
          </w:p>
        </w:tc>
        <w:tc>
          <w:tcPr>
            <w:tcW w:w="240" w:type="dxa"/>
            <w:vAlign w:val="bottom"/>
            <w:tcBorders>
              <w:bottom w:val="single" w:sz="8" w:color="auto"/>
            </w:tcBorders>
            <w:shd w:val="clear" w:color="auto" w:fill="DADADA"/>
          </w:tcPr>
          <w:p>
            <w:pPr>
              <w:spacing w:after="0"/>
              <w:rPr>
                <w:sz w:val="20"/>
                <w:szCs w:val="20"/>
                <w:color w:val="auto"/>
              </w:rPr>
            </w:pPr>
          </w:p>
        </w:tc>
        <w:tc>
          <w:tcPr>
            <w:tcW w:w="480" w:type="dxa"/>
            <w:vAlign w:val="bottom"/>
            <w:tcBorders>
              <w:bottom w:val="single" w:sz="8" w:color="auto"/>
            </w:tcBorders>
            <w:shd w:val="clear" w:color="auto" w:fill="DADADA"/>
          </w:tcPr>
          <w:p>
            <w:pPr>
              <w:spacing w:after="0"/>
              <w:rPr>
                <w:sz w:val="20"/>
                <w:szCs w:val="20"/>
                <w:color w:val="auto"/>
              </w:rPr>
            </w:pPr>
          </w:p>
        </w:tc>
        <w:tc>
          <w:tcPr>
            <w:tcW w:w="960" w:type="dxa"/>
            <w:vAlign w:val="bottom"/>
            <w:tcBorders>
              <w:bottom w:val="single" w:sz="8" w:color="auto"/>
            </w:tcBorders>
            <w:shd w:val="clear" w:color="auto" w:fill="DADADA"/>
          </w:tcPr>
          <w:p>
            <w:pPr>
              <w:spacing w:after="0"/>
              <w:rPr>
                <w:sz w:val="20"/>
                <w:szCs w:val="20"/>
                <w:color w:val="auto"/>
              </w:rPr>
            </w:pPr>
          </w:p>
        </w:tc>
        <w:tc>
          <w:tcPr>
            <w:tcW w:w="400" w:type="dxa"/>
            <w:vAlign w:val="bottom"/>
            <w:tcBorders>
              <w:bottom w:val="single" w:sz="8" w:color="auto"/>
              <w:right w:val="single" w:sz="8" w:color="auto"/>
            </w:tcBorders>
            <w:shd w:val="clear" w:color="auto" w:fill="DADADA"/>
          </w:tcPr>
          <w:p>
            <w:pPr>
              <w:spacing w:after="0"/>
              <w:rPr>
                <w:sz w:val="20"/>
                <w:szCs w:val="20"/>
                <w:color w:val="auto"/>
              </w:rPr>
            </w:pPr>
          </w:p>
        </w:tc>
        <w:tc>
          <w:tcPr>
            <w:tcW w:w="152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czasu)</w:t>
            </w:r>
          </w:p>
        </w:tc>
      </w:tr>
      <w:tr>
        <w:trPr>
          <w:trHeight w:val="205"/>
        </w:trPr>
        <w:tc>
          <w:tcPr>
            <w:tcW w:w="1560" w:type="dxa"/>
            <w:vAlign w:val="bottom"/>
            <w:tcBorders>
              <w:left w:val="single" w:sz="8" w:color="auto"/>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Zarządzanie</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2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Opłaty i inne</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00" w:type="dxa"/>
            <w:vAlign w:val="bottom"/>
            <w:tcBorders>
              <w:right w:val="single" w:sz="8" w:color="auto"/>
            </w:tcBorders>
          </w:tcPr>
          <w:p>
            <w:pPr>
              <w:spacing w:after="0"/>
              <w:rPr>
                <w:sz w:val="18"/>
                <w:szCs w:val="18"/>
                <w:color w:val="auto"/>
              </w:rPr>
            </w:pPr>
          </w:p>
        </w:tc>
        <w:tc>
          <w:tcPr>
            <w:tcW w:w="152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administracyjne lub</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Nie ma zarządzania</w:t>
            </w:r>
          </w:p>
        </w:tc>
        <w:tc>
          <w:tcPr>
            <w:tcW w:w="1520" w:type="dxa"/>
            <w:vAlign w:val="bottom"/>
            <w:tcBorders>
              <w:right w:val="single" w:sz="8" w:color="auto"/>
            </w:tcBorders>
          </w:tcPr>
          <w:p>
            <w:pPr>
              <w:spacing w:after="0"/>
              <w:rPr>
                <w:sz w:val="19"/>
                <w:szCs w:val="19"/>
                <w:color w:val="auto"/>
              </w:rPr>
            </w:pPr>
          </w:p>
        </w:tc>
      </w:tr>
      <w:tr>
        <w:trPr>
          <w:trHeight w:val="206"/>
        </w:trPr>
        <w:tc>
          <w:tcPr>
            <w:tcW w:w="1560" w:type="dxa"/>
            <w:vAlign w:val="bottom"/>
            <w:tcBorders>
              <w:left w:val="single" w:sz="8" w:color="auto"/>
              <w:right w:val="single" w:sz="8" w:color="auto"/>
            </w:tcBorders>
          </w:tcPr>
          <w:p>
            <w:pPr xmlns:w="http://schemas.openxmlformats.org/wordprocessingml/2006/main">
              <w:ind w:left="12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koszty operacyjne</w:t>
            </w: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opłata</w:t>
            </w:r>
          </w:p>
        </w:tc>
        <w:tc>
          <w:tcPr>
            <w:tcW w:w="1520" w:type="dxa"/>
            <w:vAlign w:val="bottom"/>
            <w:tcBorders>
              <w:right w:val="single" w:sz="8" w:color="auto"/>
            </w:tcBorders>
          </w:tcPr>
          <w:p>
            <w:pPr xmlns:w="http://schemas.openxmlformats.org/wordprocessingml/2006/main">
              <w:ind w:left="8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NIE DOTYCZY</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3"/>
          </w:tcPr>
          <w:p>
            <w:pPr>
              <w:spacing w:after="0" w:line="20" w:lineRule="exact"/>
              <w:rPr>
                <w:sz w:val="1"/>
                <w:szCs w:val="1"/>
                <w:color w:val="auto"/>
              </w:rPr>
            </w:pPr>
          </w:p>
        </w:tc>
        <w:tc>
          <w:tcPr>
            <w:tcW w:w="1520" w:type="dxa"/>
            <w:vAlign w:val="bottom"/>
            <w:tcBorders>
              <w:bottom w:val="single" w:sz="8" w:color="auto"/>
              <w:right w:val="single" w:sz="8" w:color="auto"/>
            </w:tcBorders>
          </w:tcPr>
          <w:p>
            <w:pPr>
              <w:spacing w:after="0" w:line="20" w:lineRule="exact"/>
              <w:rPr>
                <w:sz w:val="1"/>
                <w:szCs w:val="1"/>
                <w:color w:val="auto"/>
              </w:rPr>
            </w:pPr>
          </w:p>
        </w:tc>
      </w:tr>
      <w:tr>
        <w:trPr>
          <w:trHeight w:val="193"/>
        </w:trPr>
        <w:tc>
          <w:tcPr>
            <w:tcW w:w="1560" w:type="dxa"/>
            <w:vAlign w:val="bottom"/>
            <w:tcBorders>
              <w:left w:val="single" w:sz="8" w:color="auto"/>
              <w:right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080" w:type="dxa"/>
            <w:vAlign w:val="bottom"/>
            <w:tcBorders>
              <w:right w:val="single" w:sz="8" w:color="auto"/>
            </w:tcBorders>
            <w:gridSpan w:val="4"/>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Depozyt zabezpieczający (wymagania</w:t>
            </w:r>
          </w:p>
        </w:tc>
        <w:tc>
          <w:tcPr>
            <w:tcW w:w="1520" w:type="dxa"/>
            <w:vAlign w:val="bottom"/>
            <w:tcBorders>
              <w:right w:val="single" w:sz="8" w:color="auto"/>
            </w:tcBorders>
          </w:tcPr>
          <w:p>
            <w:pPr>
              <w:spacing w:after="0"/>
              <w:rPr>
                <w:sz w:val="16"/>
                <w:szCs w:val="16"/>
                <w:color w:val="auto"/>
              </w:rPr>
            </w:pPr>
          </w:p>
        </w:tc>
      </w:tr>
      <w:tr>
        <w:trPr>
          <w:trHeight w:val="221"/>
        </w:trPr>
        <w:tc>
          <w:tcPr>
            <w:tcW w:w="1560" w:type="dxa"/>
            <w:vAlign w:val="bottom"/>
            <w:tcBorders>
              <w:left w:val="single" w:sz="8" w:color="auto"/>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mogą ulec zmianie, oraz</w:t>
            </w:r>
          </w:p>
        </w:tc>
        <w:tc>
          <w:tcPr>
            <w:tcW w:w="1520" w:type="dxa"/>
            <w:vAlign w:val="bottom"/>
            <w:tcBorders>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Zmienna</w:t>
            </w:r>
          </w:p>
        </w:tc>
      </w:tr>
      <w:tr>
        <w:trPr>
          <w:trHeight w:val="206"/>
        </w:trPr>
        <w:tc>
          <w:tcPr>
            <w:tcW w:w="1560" w:type="dxa"/>
            <w:vAlign w:val="bottom"/>
            <w:tcBorders>
              <w:left w:val="single" w:sz="8" w:color="auto"/>
              <w:right w:val="single" w:sz="8" w:color="auto"/>
            </w:tcBorders>
          </w:tcPr>
          <w:p>
            <w:pPr xmlns:w="http://schemas.openxmlformats.org/wordprocessingml/2006/main">
              <w:ind w:left="12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Koszty transakcyjne</w:t>
            </w: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może się różnić w zależności od rodzaju pośrednictwa)</w:t>
            </w:r>
          </w:p>
        </w:tc>
        <w:tc>
          <w:tcPr>
            <w:tcW w:w="1520" w:type="dxa"/>
            <w:vAlign w:val="bottom"/>
            <w:tcBorders>
              <w:right w:val="single" w:sz="8" w:color="auto"/>
            </w:tcBorders>
          </w:tcPr>
          <w:p>
            <w:pPr xmlns:w="http://schemas.openxmlformats.org/wordprocessingml/2006/main">
              <w:ind w:left="8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(w toku)</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0" w:type="dxa"/>
            <w:vAlign w:val="bottom"/>
            <w:tcBorders>
              <w:bottom w:val="single" w:sz="8" w:color="auto"/>
            </w:tcBorders>
            <w:gridSpan w:val="3"/>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bottom w:val="single" w:sz="8" w:color="auto"/>
              <w:right w:val="single" w:sz="8" w:color="auto"/>
            </w:tcBorders>
          </w:tcPr>
          <w:p>
            <w:pPr>
              <w:spacing w:after="0" w:line="20" w:lineRule="exact"/>
              <w:rPr>
                <w:sz w:val="1"/>
                <w:szCs w:val="1"/>
                <w:color w:val="auto"/>
              </w:rPr>
            </w:pPr>
          </w:p>
        </w:tc>
        <w:tc>
          <w:tcPr>
            <w:tcW w:w="1520" w:type="dxa"/>
            <w:vAlign w:val="bottom"/>
            <w:tcBorders>
              <w:bottom w:val="single" w:sz="8" w:color="auto"/>
              <w:right w:val="single" w:sz="8" w:color="auto"/>
            </w:tcBorders>
          </w:tcPr>
          <w:p>
            <w:pPr>
              <w:spacing w:after="0" w:line="20" w:lineRule="exact"/>
              <w:rPr>
                <w:sz w:val="1"/>
                <w:szCs w:val="1"/>
                <w:color w:val="auto"/>
              </w:rPr>
            </w:pPr>
          </w:p>
        </w:tc>
      </w:tr>
      <w:tr>
        <w:trPr>
          <w:trHeight w:val="278"/>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Koszty uboczne ponoszone na określonych warunkach</w:t>
            </w:r>
          </w:p>
        </w:tc>
        <w:tc>
          <w:tcPr>
            <w:tcW w:w="1520" w:type="dxa"/>
            <w:vAlign w:val="bottom"/>
            <w:tcBorders>
              <w:bottom w:val="single" w:sz="8" w:color="auto"/>
              <w:right w:val="single" w:sz="8" w:color="auto"/>
            </w:tcBorders>
            <w:shd w:val="clear" w:color="auto" w:fill="DADADA"/>
          </w:tcPr>
          <w:p>
            <w:pPr>
              <w:spacing w:after="0"/>
              <w:rPr>
                <w:sz w:val="24"/>
                <w:szCs w:val="24"/>
                <w:color w:val="auto"/>
              </w:rPr>
            </w:pPr>
          </w:p>
        </w:tc>
      </w:tr>
      <w:tr>
        <w:trPr>
          <w:trHeight w:val="287"/>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Opłaty za wyniki</w:t>
            </w:r>
          </w:p>
        </w:tc>
        <w:tc>
          <w:tcPr>
            <w:tcW w:w="80" w:type="dxa"/>
            <w:vAlign w:val="bottom"/>
            <w:tcBorders>
              <w:bottom w:val="single" w:sz="8" w:color="auto"/>
            </w:tcBorders>
          </w:tcPr>
          <w:p>
            <w:pPr>
              <w:spacing w:after="0"/>
              <w:rPr>
                <w:sz w:val="24"/>
                <w:szCs w:val="24"/>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Brak</w:t>
            </w: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NIE DOTYCZY</w:t>
            </w:r>
          </w:p>
        </w:tc>
      </w:tr>
    </w:tbl>
    <w:p>
      <w:pPr>
        <w:spacing w:after="0" w:line="101" w:lineRule="exact"/>
        <w:rPr>
          <w:sz w:val="20"/>
          <w:szCs w:val="20"/>
          <w:color w:val="auto"/>
        </w:rPr>
      </w:pPr>
    </w:p>
    <w:p>
      <w:pPr>
        <w:sectPr>
          <w:pgSz w:w="12240" w:h="15840" w:orient="portrait"/>
          <w:cols w:equalWidth="0" w:num="2">
            <w:col w:w="5100" w:space="200"/>
            <w:col w:w="5220"/>
          </w:cols>
          <w:pgMar w:left="720" w:top="774" w:right="1000" w:bottom="293" w:gutter="0" w:footer="0" w:header="0"/>
          <w:type w:val="continuous"/>
        </w:sectPr>
      </w:pPr>
    </w:p>
    <w:p>
      <w:pPr xmlns:w="http://schemas.openxmlformats.org/wordprocessingml/2006/main">
        <w:jc w:val="both"/>
        <w:ind w:left="220" w:right="1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Pisarz może ponieść dodatkowe koszty.</w:t>
      </w:r>
      <w:r>
        <w:rPr xmlns:w="http://schemas.openxmlformats.org/wordprocessingml/2006/main">
          <w:rFonts w:ascii="Calibri" w:cs="Calibri" w:eastAsia="Calibri" w:hAnsi="Calibri"/>
          <w:sz w:val="22"/>
          <w:szCs w:val="22"/>
          <w:color w:val="auto"/>
        </w:rPr>
        <w:t xml:space="preserve"> Niezależnie od kosztów inwestorskich, OCC pobiera związane z tym opłaty za rozliczenie tego produktu swoim członkom rozliczającym, ale nie bezpośrednio Tobie: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Jak długo mam go trzymać i czy mogę wcześnie wyjść z transakcji (czy mogę wcześniej wyjąć pieniądze)?</w:t>
      </w:r>
    </w:p>
    <w:p>
      <w:pPr>
        <w:spacing w:after="0" w:line="67" w:lineRule="exact"/>
        <w:rPr>
          <w:sz w:val="20"/>
          <w:szCs w:val="20"/>
          <w:color w:val="auto"/>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Zalecany okres przechowywania: Brak.</w:t>
      </w:r>
      <w:r>
        <w:rPr xmlns:w="http://schemas.openxmlformats.org/wordprocessingml/2006/main">
          <w:rFonts w:ascii="Calibri" w:cs="Calibri" w:eastAsia="Calibri" w:hAnsi="Calibri"/>
          <w:sz w:val="22"/>
          <w:szCs w:val="22"/>
          <w:color w:val="auto"/>
        </w:rPr>
        <w:t xml:space="preserve"> Decyzja o wykonaniu opcji jest dla posiadacza kluczową decyzją inwestycyjną, podobnie jak decyzja zarówno posiadaczy opcji, jak i emitentów o zamknięciu istniejącej pozycji opcyjnej przed wygaśnięciem opcji lub jej wykonaniem i przypisaniem poprzez zawarcie transakcji zamknięcia.</w:t>
      </w:r>
      <w:r>
        <w:rPr xmlns:w="http://schemas.openxmlformats.org/wordprocessingml/2006/main">
          <w:rFonts w:ascii="Calibri" w:cs="Calibri" w:eastAsia="Calibri" w:hAnsi="Calibri"/>
          <w:sz w:val="22"/>
          <w:szCs w:val="22"/>
          <w:color w:val="auto"/>
        </w:rPr>
        <w:t xml:space="preserve"> W związku z tym inwestorzy ponoszą wyłączną odpowiedzialność za ustalenie, czy i kiedy powinni wykonać swoją umowę (umowy) opcji oraz czy zamknąć istniejącą pozycję opcyjną.</w:t>
      </w:r>
      <w:r>
        <w:rPr xmlns:w="http://schemas.openxmlformats.org/wordprocessingml/2006/main">
          <w:rFonts w:ascii="Calibri" w:cs="Calibri" w:eastAsia="Calibri" w:hAnsi="Calibri"/>
          <w:sz w:val="22"/>
          <w:szCs w:val="22"/>
          <w:color w:val="auto"/>
        </w:rPr>
        <w:t xml:space="preserve"> Inwestorzy, którzy zamkną istniejącą pozycję opcyjną, rezygnują z wszelkich późniejszych zysków lub strat związanych z tą opcją.</w:t>
      </w:r>
      <w:r>
        <w:rPr xmlns:w="http://schemas.openxmlformats.org/wordprocessingml/2006/main">
          <w:rFonts w:ascii="Calibri" w:cs="Calibri" w:eastAsia="Calibri" w:hAnsi="Calibri"/>
          <w:sz w:val="22"/>
          <w:szCs w:val="22"/>
          <w:color w:val="auto"/>
        </w:rPr>
        <w:t xml:space="preserve"> Wszystkie opcje mają datę wygaśnięcia, po której opcja nie będzie miała wartości i nie będzie już istnieć.</w:t>
      </w:r>
      <w:r>
        <w:rPr xmlns:w="http://schemas.openxmlformats.org/wordprocessingml/2006/main">
          <w:rFonts w:ascii="Calibri" w:cs="Calibri" w:eastAsia="Calibri" w:hAnsi="Calibri"/>
          <w:sz w:val="22"/>
          <w:szCs w:val="22"/>
          <w:color w:val="auto"/>
        </w:rPr>
        <w:t xml:space="preserve"> Posiadacze opcji w stylu amerykańskim, którzy chcą skorzystać z nich przed upływem terminu ważności, mogą to zrobić, przekazując brokerowi instrukcje dotyczące wykonania opcji, zgodnie z procedurą brokera.</w:t>
      </w:r>
    </w:p>
    <w:p>
      <w:pPr>
        <w:spacing w:after="0" w:line="14"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Jak mogę złożyć skargę?</w:t>
      </w:r>
    </w:p>
    <w:p>
      <w:pPr>
        <w:spacing w:after="0" w:line="67" w:lineRule="exact"/>
        <w:rPr>
          <w:sz w:val="20"/>
          <w:szCs w:val="20"/>
          <w:color w:val="auto"/>
        </w:rPr>
      </w:pPr>
    </w:p>
    <w:p>
      <w:pPr xmlns:w="http://schemas.openxmlformats.org/wordprocessingml/2006/main">
        <w:ind w:left="220" w:right="120"/>
        <w:spacing w:after="0" w:line="220" w:lineRule="auto"/>
        <w:rPr>
          <w:sz w:val="20"/>
          <w:szCs w:val="20"/>
          <w:color w:val="auto"/>
        </w:rPr>
      </w:pPr>
      <w:r>
        <w:rPr xmlns:w="http://schemas.openxmlformats.org/wordprocessingml/2006/main">
          <w:rFonts w:ascii="Calibri" w:cs="Calibri" w:eastAsia="Calibri" w:hAnsi="Calibri"/>
          <w:sz w:val="22"/>
          <w:szCs w:val="22"/>
          <w:color w:val="auto"/>
        </w:rPr>
        <w:t xml:space="preserve">Inwestorzy mogą kontaktować się z OCC pod adresem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Inwestorzy mogą również złożyć skargę do Urzędu Regulacji Sektora Finansowego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lub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w:t>
      </w:r>
    </w:p>
    <w:p>
      <w:pPr>
        <w:spacing w:after="0" w:line="1" w:lineRule="exact"/>
        <w:rPr>
          <w:sz w:val="20"/>
          <w:szCs w:val="20"/>
          <w:color w:val="auto"/>
        </w:rPr>
      </w:pPr>
    </w:p>
    <w:p>
      <w:pPr xmlns:w="http://schemas.openxmlformats.org/wordprocessingml/2006/main">
        <w:ind w:left="34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Centrum Reklamacji Inwestorów FINRA</w:t>
        <w:tab xmlns:w="http://schemas.openxmlformats.org/wordprocessingml/2006/main"/>
      </w:r>
      <w:r>
        <w:rPr xmlns:w="http://schemas.openxmlformats.org/wordprocessingml/2006/main">
          <w:rFonts w:ascii="Calibri" w:cs="Calibri" w:eastAsia="Calibri" w:hAnsi="Calibri"/>
          <w:sz w:val="22"/>
          <w:szCs w:val="22"/>
          <w:color w:val="auto"/>
        </w:rPr>
        <w:t xml:space="preserve">USA.</w:t>
      </w:r>
      <w:r>
        <w:rPr xmlns:w="http://schemas.openxmlformats.org/wordprocessingml/2006/main">
          <w:rFonts w:ascii="Calibri" w:cs="Calibri" w:eastAsia="Calibri" w:hAnsi="Calibri"/>
          <w:sz w:val="22"/>
          <w:szCs w:val="22"/>
          <w:color w:val="auto"/>
        </w:rPr>
        <w:t xml:space="preserve"> Komisja Papierów Wartościowych i Giełd</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9509 Key West Avenue</w:t>
        <w:tab xmlns:w="http://schemas.openxmlformats.org/wordprocessingml/2006/main"/>
      </w:r>
      <w:r>
        <w:rPr xmlns:w="http://schemas.openxmlformats.org/wordprocessingml/2006/main">
          <w:rFonts w:ascii="Calibri" w:cs="Calibri" w:eastAsia="Calibri" w:hAnsi="Calibri"/>
          <w:sz w:val="22"/>
          <w:szCs w:val="22"/>
          <w:color w:val="auto"/>
        </w:rPr>
        <w:t xml:space="preserve">Biuro Edukacji i Rzecznictwa Inwestorskiego</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2"/>
          <w:szCs w:val="22"/>
          <w:color w:val="auto"/>
        </w:rPr>
        <w:t xml:space="preserve">100 F Street, Gdzie Indziej Niewymienione.</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Telefon: (240) 386-HELP (4357) Faks: (866) 397-3290</w:t>
        <w:tab xmlns:w="http://schemas.openxmlformats.org/wordprocessingml/2006/main"/>
      </w:r>
      <w:r>
        <w:rPr xmlns:w="http://schemas.openxmlformats.org/wordprocessingml/2006/main">
          <w:rFonts w:ascii="Calibri" w:cs="Calibri" w:eastAsia="Calibri" w:hAnsi="Calibri"/>
          <w:sz w:val="21"/>
          <w:szCs w:val="21"/>
          <w:color w:val="auto"/>
        </w:rPr>
        <w:t xml:space="preserve">Waszyngton, DC 20549-0213 Faks: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188595</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4.85pt" to="532.4pt,14.85pt" o:allowincell="f" strokecolor="#000000" strokeweight="0.4799pt"/>
            </w:pict>
          </mc:Fallback>
        </mc:AlternateContent>
      </w:r>
    </w:p>
    <w:p>
      <w:pPr>
        <w:spacing w:after="0" w:line="26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Wszelkie prawa zastrzeżone.</w:t>
      </w:r>
    </w:p>
    <w:sectPr>
      <w:pgSz w:w="12240" w:h="15840" w:orient="portrait"/>
      <w:cols w:equalWidth="0" w:num="1">
        <w:col w:w="10520"/>
      </w:cols>
      <w:pgMar w:left="720" w:top="774" w:right="1000" w:bottom="29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455F99C2"/>
    <w:multiLevelType w:val="hybridMultilevel"/>
    <w:lvl w:ilvl="0">
      <w:lvlJc w:val="left"/>
      <w:lvlText w:val="·"/>
      <w:numFmt w:val="bullet"/>
      <w:start w:val="1"/>
    </w:lvl>
  </w:abstractNum>
  <w:abstractNum w:abstractNumId="1">
    <w:nsid w:val="6FAEC9A"/>
    <w:multiLevelType w:val="hybridMultilevel"/>
    <w:lvl w:ilvl="0">
      <w:lvlJc w:val="left"/>
      <w:lvlText w:val="·"/>
      <w:numFmt w:val="bullet"/>
      <w:start w:val="1"/>
    </w:lvl>
  </w:abstractNum>
  <w:abstractNum w:abstractNumId="2">
    <w:nsid w:val="7B4C57DC"/>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2024-05-21T09:31:41Z</dcterms:created>
  <dcterms:modified xsi:type="dcterms:W3CDTF">2024-05-21T09:31:41Z</dcterms:modified>
</cp:coreProperties>
</file>