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Dokument zawierający kluczowe informacje</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Przeznaczenie</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Niniejszy dokument zawiera kluczowe informacje na temat tego produktu inwestycyjnego.</w:t>
      </w:r>
      <w:r>
        <w:rPr xmlns:w="http://schemas.openxmlformats.org/wordprocessingml/2006/main">
          <w:rFonts w:ascii="Arial" w:cs="Arial" w:eastAsia="Arial" w:hAnsi="Arial"/>
          <w:sz w:val="16"/>
          <w:szCs w:val="16"/>
          <w:color w:val="auto"/>
        </w:rPr>
        <w:t xml:space="preserve"> Nie jest to materiał marketingowy.</w:t>
      </w:r>
      <w:r>
        <w:rPr xmlns:w="http://schemas.openxmlformats.org/wordprocessingml/2006/main">
          <w:rFonts w:ascii="Arial" w:cs="Arial" w:eastAsia="Arial" w:hAnsi="Arial"/>
          <w:sz w:val="16"/>
          <w:szCs w:val="16"/>
          <w:color w:val="auto"/>
        </w:rPr>
        <w:t xml:space="preserve"> Informacje te są wymagane przez prawo, aby pomóc Ci zrozumieć charakter, ryzyko, koszty, potencjalne zyski i straty tego produktu oraz aby pomóc Ci porównać go z innymi produktami.</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Produkt</w:t>
      </w:r>
    </w:p>
    <w:p>
      <w:pPr>
        <w:spacing w:after="0" w:line="22"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Global Clean Energy UCITS ETF</w:t>
      </w:r>
      <w:r>
        <w:rPr xmlns:w="http://schemas.openxmlformats.org/wordprocessingml/2006/main">
          <w:rFonts w:ascii="Arial" w:cs="Arial" w:eastAsia="Arial" w:hAnsi="Arial"/>
          <w:sz w:val="16"/>
          <w:szCs w:val="16"/>
          <w:color w:val="auto"/>
        </w:rPr>
        <w:t xml:space="preserve"> ("Fundusz"), </w:t>
      </w:r>
      <w:r>
        <w:rPr xmlns:w="http://schemas.openxmlformats.org/wordprocessingml/2006/main">
          <w:rFonts w:ascii="Arial" w:cs="Arial" w:eastAsia="Arial" w:hAnsi="Arial"/>
          <w:sz w:val="16"/>
          <w:szCs w:val="16"/>
          <w:b w:val="1"/>
          <w:bCs w:val="1"/>
          <w:color w:val="auto"/>
        </w:rPr>
        <w:t xml:space="preserve">USD Dist</w:t>
      </w:r>
      <w:r>
        <w:rPr xmlns:w="http://schemas.openxmlformats.org/wordprocessingml/2006/main">
          <w:rFonts w:ascii="Arial" w:cs="Arial" w:eastAsia="Arial" w:hAnsi="Arial"/>
          <w:sz w:val="16"/>
          <w:szCs w:val="16"/>
          <w:color w:val="auto"/>
        </w:rPr>
        <w:t xml:space="preserve"> ("Klasa akcji"), ISIN: </w:t>
      </w:r>
      <w:r>
        <w:rPr xmlns:w="http://schemas.openxmlformats.org/wordprocessingml/2006/main">
          <w:rFonts w:ascii="Arial" w:cs="Arial" w:eastAsia="Arial" w:hAnsi="Arial"/>
          <w:sz w:val="16"/>
          <w:szCs w:val="16"/>
          <w:b w:val="1"/>
          <w:bCs w:val="1"/>
          <w:color w:val="auto"/>
        </w:rPr>
        <w:t xml:space="preserve">IE00B1XNHC34</w:t>
      </w:r>
      <w:r>
        <w:rPr xmlns:w="http://schemas.openxmlformats.org/wordprocessingml/2006/main">
          <w:rFonts w:ascii="Arial" w:cs="Arial" w:eastAsia="Arial" w:hAnsi="Arial"/>
          <w:sz w:val="16"/>
          <w:szCs w:val="16"/>
          <w:color w:val="auto"/>
        </w:rPr>
        <w:t xml:space="preserve">, jest zarejestrowany w Irlandii i produkowany przez BlackRock Asset Management Ireland Limited ("Zarządzający"), który jest częścią grupy BlackRock, Inc.</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Zarządzający posiada zezwolenie w Irlandii i jest regulowany przez Central Bank of Ireland ("CBI"), a CBI jest odpowiedzialny za nadzór nad zarządzającym w odniesieniu do niniejszego dokumentu zawierającego kluczowe informacje.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Więcej informacji można uzyskać pod adresem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lub dzwoniąc pod numer </w:t>
      </w:r>
      <w:r>
        <w:rPr xmlns:w="http://schemas.openxmlformats.org/wordprocessingml/2006/main">
          <w:rFonts w:ascii="Arial" w:cs="Arial" w:eastAsia="Arial" w:hAnsi="Arial"/>
          <w:sz w:val="16"/>
          <w:szCs w:val="16"/>
          <w:b w:val="1"/>
          <w:bCs w:val="1"/>
          <w:color w:val="auto"/>
        </w:rPr>
        <w:t xml:space="preserve">+353 1 612 3394</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Niniejszy dokument datowany jest na dzień 28 grudnia 2023 roku.</w:t>
      </w:r>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to za produkt?</w:t>
      </w:r>
    </w:p>
    <w:p>
      <w:pPr>
        <w:spacing w:after="0" w:line="1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Rodzaj:</w:t>
      </w:r>
      <w:r>
        <w:rPr xmlns:w="http://schemas.openxmlformats.org/wordprocessingml/2006/main">
          <w:rFonts w:ascii="Arial" w:cs="Arial" w:eastAsia="Arial" w:hAnsi="Arial"/>
          <w:sz w:val="16"/>
          <w:szCs w:val="16"/>
          <w:color w:val="auto"/>
        </w:rPr>
        <w:t xml:space="preserve"> Fundusz jest subfunduszem iShares II plc, spółki parasolowej zarejestrowanej w Irlandii, upoważnionej przez Central Bank of Ireland jako przedsiębiorstwo zbiorowego inwestowania w zbywalne papiery wartościowe ("UCITS").</w:t>
      </w:r>
      <w:r>
        <w:rPr xmlns:w="http://schemas.openxmlformats.org/wordprocessingml/2006/main">
          <w:rFonts w:ascii="Arial" w:cs="Arial" w:eastAsia="Arial" w:hAnsi="Arial"/>
          <w:sz w:val="16"/>
          <w:szCs w:val="16"/>
          <w:color w:val="auto"/>
        </w:rPr>
        <w:t xml:space="preserve"> Fundusz jest funduszem inwestycyjnym UCITS typu ETF.</w:t>
      </w:r>
    </w:p>
    <w:p>
      <w:pPr>
        <w:spacing w:after="0" w:line="1" w:lineRule="exact"/>
        <w:rPr>
          <w:sz w:val="24"/>
          <w:szCs w:val="24"/>
          <w:color w:val="auto"/>
        </w:rPr>
      </w:pPr>
    </w:p>
    <w:p>
      <w:pPr xmlns:w="http://schemas.openxmlformats.org/wordprocessingml/2006/main">
        <w:jc w:val="both"/>
        <w:spacing w:after="0" w:line="260" w:lineRule="auto"/>
        <w:rPr>
          <w:sz w:val="20"/>
          <w:szCs w:val="20"/>
          <w:color w:val="auto"/>
        </w:rPr>
      </w:pPr>
      <w:r>
        <w:rPr xmlns:w="http://schemas.openxmlformats.org/wordprocessingml/2006/main">
          <w:rFonts w:ascii="Arial" w:cs="Arial" w:eastAsia="Arial" w:hAnsi="Arial"/>
          <w:sz w:val="16"/>
          <w:szCs w:val="16"/>
          <w:b w:val="1"/>
          <w:bCs w:val="1"/>
          <w:color w:val="auto"/>
        </w:rPr>
        <w:t xml:space="preserve">Okres:</w:t>
      </w:r>
      <w:r>
        <w:rPr xmlns:w="http://schemas.openxmlformats.org/wordprocessingml/2006/main">
          <w:rFonts w:ascii="Arial" w:cs="Arial" w:eastAsia="Arial" w:hAnsi="Arial"/>
          <w:sz w:val="16"/>
          <w:szCs w:val="16"/>
          <w:color w:val="auto"/>
        </w:rPr>
        <w:t xml:space="preserve"> Fundusz nie ma ustalonego okresu istnienia ani terminu zapadalności, ale w pewnych okolicznościach, jak opisano w prospekcie emisyjnym Funduszu, Fundusz może zostać jednostronnie rozwiązany po pisemnym powiadomieniu posiadaczy jednostek uczestnictwa, z zastrzeżeniem zgodności z prospektem emisyjnym Funduszu i mającymi zastosowanie przepisami.</w:t>
      </w:r>
    </w:p>
    <w:p>
      <w:pPr>
        <w:spacing w:after="0" w:line="17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Cele</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Fundusz, którego celem jest uzyskanie zwrotu z inwestycji poprzez połączenie wzrostu kapitału i dochodu z aktywów Funduszu, co odzwierciedla zwrot z inwestycji w indeks S&amp;P Global Clean Energy Index (indeks).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Indeks mierzy wyniki około 100 największych spółek notowanych na giełdzie w ramach globalnej działalności czystej energii, które spełniają określone wymogi inwestycyjne oraz kryteria wykluczające dostawcy indeksów w zakresie ochrony środowiska, polityki społecznej i ładu korporacyjnego ("ESG") określone w Prospekcie Emisyjnym. Indeks ma na celu zapewnienie ekspozycji wiodącym spółkom notowanym na giełdzie w światowym sektorze czystej energii, zarówno z rynków rozwiniętych, jak i wschodzących, oraz jest ważony kapitalizacją rynkową.</w:t>
      </w:r>
      <w:r>
        <w:rPr xmlns:w="http://schemas.openxmlformats.org/wordprocessingml/2006/main">
          <w:rFonts w:ascii="Arial" w:cs="Arial" w:eastAsia="Arial" w:hAnsi="Arial"/>
          <w:sz w:val="16"/>
          <w:szCs w:val="16"/>
          <w:color w:val="auto"/>
        </w:rPr>
        <w:t xml:space="preserve"> Spółki mogą zostać wykluczone z Indeksu, jeżeli mają związek z kontrowersyjną bronią, bronią strzelecką, kontraktami wojskowymi, tytoniem, węglem termalnym, piaskami roponośnymi, energią z łupków, arktycznymi poszukiwaniami ropy naftowej i gazu.</w:t>
      </w:r>
      <w:r>
        <w:rPr xmlns:w="http://schemas.openxmlformats.org/wordprocessingml/2006/main">
          <w:rFonts w:ascii="Arial" w:cs="Arial" w:eastAsia="Arial" w:hAnsi="Arial"/>
          <w:sz w:val="16"/>
          <w:szCs w:val="16"/>
          <w:color w:val="auto"/>
        </w:rPr>
        <w:t xml:space="preserve"> Wyłączone są również spółki, które zostały zaklasyfikowane jako naruszające zasady United Nations Global Compact lub zostały ocenione zgodnie z zasadami ESG dostawcy indeksu (mierzącymi zaangażowanie spółki w poważne kontrowersje ESG lub ekspozycję na ryzyka ESG i zarządzanie nimi, lub połączenie ryzyka ESG spółki z ratingami kontrowersyjnymi).</w:t>
      </w:r>
      <w:r>
        <w:rPr xmlns:w="http://schemas.openxmlformats.org/wordprocessingml/2006/main">
          <w:rFonts w:ascii="Arial" w:cs="Arial" w:eastAsia="Arial" w:hAnsi="Arial"/>
          <w:sz w:val="16"/>
          <w:szCs w:val="16"/>
          <w:color w:val="auto"/>
        </w:rPr>
        <w:t xml:space="preserve"> Indeks określa poszczególne wagi składników zgodnie z metodologią indeksowania.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-1062990</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Fundusz zamierza powielać Indeks poprzez utrzymywanie w podobnej proporcji udziałowych papierów wartościowych, które wchodzą w skład Indeksu.</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Fundusz może również udzielać krótkoterminowych zabezpieczonych pożyczek swoich inwestycji niektórym kwalifikującym się stronom trzecim w celu uzyskania dodatkowych dochodów w celu skompensowania kosztów Funduszu.</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Zarządzający inwestycjami może wykorzystywać finansowe instrumenty pochodne (BIZ) (tj. inwestycje, których ceny dotyczą jednego lub większej liczby aktywów bazowych), aby pomóc w osiągnięciu celu inwestycyjnego Funduszu.</w:t>
      </w:r>
      <w:r>
        <w:rPr xmlns:w="http://schemas.openxmlformats.org/wordprocessingml/2006/main">
          <w:rFonts w:ascii="Arial" w:cs="Arial" w:eastAsia="Arial" w:hAnsi="Arial"/>
          <w:sz w:val="16"/>
          <w:szCs w:val="16"/>
          <w:color w:val="auto"/>
        </w:rPr>
        <w:t xml:space="preserve"> BIZ mogą być wykorzystywane do celów inwestycji bezpośrednich.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Fundusz stosuje podejście best in universe do zrównoważonego inwestowania, co oznacza, że oczekuje się od niego inwestowania w najlepszych emitentów z perspektywy ESG (w oparciu o kryteria ESG Indeksu) w ramach odpowiedniego świata objętego Indeksem.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-210185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Cena udziałowych papierów wartościowych podlega codziennym wahaniom i mogą na nią wpływać czynniki wpływające na wyniki poszczególnych spółek emitujących akcje, jak również codzienne zmiany na rynku akcji, a także szerszy rozwój sytuacji gospodarczej i politycznej, który z kolei może wpływać na wartość Państwa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Cena BIZ zmienia się codziennie w zależności od wartości bazowego składnika aktywów (bazowych składników aktywów), co z kolei może mieć wpływ na wartość Państwa inwestycji.</w:t>
      </w:r>
      <w:r>
        <w:rPr xmlns:w="http://schemas.openxmlformats.org/wordprocessingml/2006/main">
          <w:rFonts w:ascii="Arial" w:cs="Arial" w:eastAsia="Arial" w:hAnsi="Arial"/>
          <w:sz w:val="16"/>
          <w:szCs w:val="16"/>
          <w:color w:val="auto"/>
        </w:rPr>
        <w:t xml:space="preserve"> Zmiana wartości bazowych aktywów referencyjnych może mieć większy wpływ na wartość BIZ niż wówczas, gdy aktywa były utrzymywane bezpośrednio, ponieważ BIZ mogą być bardziej wrażliwe na zmiany.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Zależność między zwrotem z inwestycji, jego wpływem a okresem, przez który posiadasz inwestycję, jest uwzględniona poniżej (patrz "Jak długo powinienem ją utrzymywać i czy mogę wcześnie wycofać swoje pieniądze?").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Depozytariuszem funduszu jest State Street Custodial Services (Ireland) Limited.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Więcej informacji na temat Funduszu można znaleźć w najnowszym raporcie rocznym i półrocznych raportach iShares II plc.</w:t>
      </w:r>
      <w:r>
        <w:rPr xmlns:w="http://schemas.openxmlformats.org/wordprocessingml/2006/main">
          <w:rFonts w:ascii="Arial" w:cs="Arial" w:eastAsia="Arial" w:hAnsi="Arial"/>
          <w:sz w:val="16"/>
          <w:szCs w:val="16"/>
          <w:color w:val="auto"/>
        </w:rPr>
        <w:t xml:space="preserve"> Dokumenty te są dostępne bezpłatnie w języku angielskim i niektórych innych językach.</w:t>
      </w:r>
      <w:r>
        <w:rPr xmlns:w="http://schemas.openxmlformats.org/wordprocessingml/2006/main">
          <w:rFonts w:ascii="Arial" w:cs="Arial" w:eastAsia="Arial" w:hAnsi="Arial"/>
          <w:sz w:val="16"/>
          <w:szCs w:val="16"/>
          <w:color w:val="auto"/>
        </w:rPr>
        <w:t xml:space="preserve"> Informacje te wraz z innymi (praktycznymi) informacjami, w tym cenami jednostek, można znaleźć na stronie internetowej iShares pod adresem: www.ishares.com lub pod numerem telefonu +44 (0)845 357 7000.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Twoje akcje będą rozdzielać akcje (tzn. przychód będzie wypłacany od akcji w okresach półrocznych).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Twoje akcje będą denominowane w dolarach amerykańskich, walucie bazowej Funduszu.</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2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Akcje są notowane i znajdują się w obrocie na różnych giełdach.</w:t>
      </w:r>
      <w:r>
        <w:rPr xmlns:w="http://schemas.openxmlformats.org/wordprocessingml/2006/main">
          <w:rFonts w:ascii="Arial" w:cs="Arial" w:eastAsia="Arial" w:hAnsi="Arial"/>
          <w:sz w:val="16"/>
          <w:szCs w:val="16"/>
          <w:color w:val="auto"/>
        </w:rPr>
        <w:t xml:space="preserve"> W normalnych okolicznościach wyłącznie uprawnieni uczestnicy mogą nabywać i zbywać akcje bezpośrednio z Funduszem.</w:t>
      </w:r>
      <w:r>
        <w:rPr xmlns:w="http://schemas.openxmlformats.org/wordprocessingml/2006/main">
          <w:rFonts w:ascii="Arial" w:cs="Arial" w:eastAsia="Arial" w:hAnsi="Arial"/>
          <w:sz w:val="16"/>
          <w:szCs w:val="16"/>
          <w:color w:val="auto"/>
        </w:rPr>
        <w:t xml:space="preserve"> Inwestorzy, którzy nie są uprawnionymi uczestnikami (np. wybrane instytucje finansowe), mogą co do zasady kupować lub sprzedawać akcje na rynku wtórnym (np. za pośrednictwem brokera na giełdzie) wyłącznie po obowiązującej wówczas cenie rynkowej.</w:t>
      </w:r>
      <w:r>
        <w:rPr xmlns:w="http://schemas.openxmlformats.org/wordprocessingml/2006/main">
          <w:rFonts w:ascii="Arial" w:cs="Arial" w:eastAsia="Arial" w:hAnsi="Arial"/>
          <w:sz w:val="16"/>
          <w:szCs w:val="16"/>
          <w:color w:val="auto"/>
        </w:rPr>
        <w:t xml:space="preserve"> Wartość udziałów jest powiązana z wartością aktywów bazowych Funduszu pomniejszoną o koszty (zob. "Jakie są koszty?" poniżej).</w:t>
      </w:r>
      <w:r>
        <w:rPr xmlns:w="http://schemas.openxmlformats.org/wordprocessingml/2006/main">
          <w:rFonts w:ascii="Arial" w:cs="Arial" w:eastAsia="Arial" w:hAnsi="Arial"/>
          <w:sz w:val="16"/>
          <w:szCs w:val="16"/>
          <w:color w:val="auto"/>
        </w:rPr>
        <w:t xml:space="preserve"> Cena rynkowa, po której akcje znajdują się w obrocie na rynku wtórnym, może odbiegać od wartości Akcji.</w:t>
      </w:r>
      <w:r>
        <w:rPr xmlns:w="http://schemas.openxmlformats.org/wordprocessingml/2006/main">
          <w:rFonts w:ascii="Arial" w:cs="Arial" w:eastAsia="Arial" w:hAnsi="Arial"/>
          <w:sz w:val="16"/>
          <w:szCs w:val="16"/>
          <w:color w:val="auto"/>
        </w:rPr>
        <w:t xml:space="preserve"> Orientacyjna wartość aktywów netto publikowana jest na odpowiednich stronach internetowych giełd.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-581025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4" w:lineRule="exact"/>
        <w:rPr>
          <w:sz w:val="24"/>
          <w:szCs w:val="24"/>
          <w:color w:val="auto"/>
        </w:rPr>
      </w:pPr>
    </w:p>
    <w:p>
      <w:pPr xmlns:w="http://schemas.openxmlformats.org/wordprocessingml/2006/main">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Przeznaczenie inwestora indywidualnego:</w:t>
      </w:r>
      <w:r>
        <w:rPr xmlns:w="http://schemas.openxmlformats.org/wordprocessingml/2006/main">
          <w:rFonts w:ascii="Arial" w:cs="Arial" w:eastAsia="Arial" w:hAnsi="Arial"/>
          <w:sz w:val="16"/>
          <w:szCs w:val="16"/>
          <w:color w:val="auto"/>
        </w:rPr>
        <w:t xml:space="preserve"> Fundusz przeznaczony jest dla inwestorów detalicznych, którzy mogą ponosić straty do wysokości zainwestowanej w Fundusz kwoty (zob. "Jak długo powinienem go utrzymywać i czy mogę wcześnie wycofać swoje pieniądze?").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Świadczenia ubezpieczeniowe:</w:t>
      </w:r>
      <w:r>
        <w:rPr xmlns:w="http://schemas.openxmlformats.org/wordprocessingml/2006/main">
          <w:rFonts w:ascii="Arial" w:cs="Arial" w:eastAsia="Arial" w:hAnsi="Arial"/>
          <w:sz w:val="16"/>
          <w:szCs w:val="16"/>
          <w:color w:val="auto"/>
        </w:rPr>
        <w:t xml:space="preserve"> Fundusz nie oferuje żadnych świadczeń ubezpieczeniowych.</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6"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jest ryzyko i co mogę dostać w zamian?</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Wskaźnik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6839585" cy="895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ind w:left="20"/>
        <w:spacing w:after="0"/>
        <w:tabs>
          <w:tab w:leader="none" w:pos="10000" w:val="left"/>
        </w:tabs>
        <w:rPr>
          <w:sz w:val="20"/>
          <w:szCs w:val="20"/>
          <w:color w:val="auto"/>
        </w:rPr>
      </w:pPr>
      <w:r>
        <w:rPr xmlns:w="http://schemas.openxmlformats.org/wordprocessingml/2006/main">
          <w:rFonts w:ascii="Arial" w:cs="Arial" w:eastAsia="Arial" w:hAnsi="Arial"/>
          <w:sz w:val="14"/>
          <w:szCs w:val="14"/>
          <w:b w:val="1"/>
          <w:bCs w:val="1"/>
          <w:color w:val="auto"/>
        </w:rPr>
        <w:t xml:space="preserve">Niższe ryzyko</w:t>
        <w:tab xmlns:w="http://schemas.openxmlformats.org/wordprocessingml/2006/main"/>
      </w:r>
      <w:r>
        <w:rPr xmlns:w="http://schemas.openxmlformats.org/wordprocessingml/2006/main">
          <w:rFonts w:ascii="Arial" w:cs="Arial" w:eastAsia="Arial" w:hAnsi="Arial"/>
          <w:sz w:val="14"/>
          <w:szCs w:val="14"/>
          <w:b w:val="1"/>
          <w:bCs w:val="1"/>
          <w:color w:val="auto"/>
        </w:rPr>
        <w:t xml:space="preserve">Wyższe ryzyko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46355</wp:posOffset>
            </wp:positionV>
            <wp:extent cx="6840220" cy="651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2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Wskaźnik ryzyka zakłada przechowywanie produktu przez 5 lat.</w:t>
      </w:r>
      <w:r>
        <w:rPr xmlns:w="http://schemas.openxmlformats.org/wordprocessingml/2006/main">
          <w:rFonts w:ascii="Arial" w:cs="Arial" w:eastAsia="Arial" w:hAnsi="Arial"/>
          <w:sz w:val="16"/>
          <w:szCs w:val="16"/>
          <w:b w:val="1"/>
          <w:bCs w:val="1"/>
          <w:color w:val="auto"/>
        </w:rPr>
        <w:t xml:space="preserve"> Rzeczywiste ryzyko może się znacznie różnić, jeśli dokonasz wpłaty na wczesnym etapie, a otrzymasz mniej.</w:t>
      </w:r>
    </w:p>
    <w:p>
      <w:pPr>
        <w:spacing w:after="0" w:line="118" w:lineRule="exact"/>
        <w:rPr>
          <w:sz w:val="20"/>
          <w:szCs w:val="20"/>
          <w:color w:val="auto"/>
        </w:rPr>
      </w:pP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Podsumowujący wskaźnik ryzyka jest wskazówką dotyczącą poziomu ryzyka tego produktu w porównaniu z innymi produktami.</w:t>
      </w:r>
      <w:r>
        <w:rPr xmlns:w="http://schemas.openxmlformats.org/wordprocessingml/2006/main">
          <w:rFonts w:ascii="Arial" w:cs="Arial" w:eastAsia="Arial" w:hAnsi="Arial"/>
          <w:sz w:val="16"/>
          <w:szCs w:val="16"/>
          <w:color w:val="auto"/>
        </w:rPr>
        <w:t xml:space="preserve"> Pokazuje, jak prawdopodobne jest, że produkt straci pieniądze z powodu zmian na rynkach lub dlatego, że nie jesteśmy w stanie zapłacić.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Zaklasyfikowaliśmy ten produkt jako 5 z 7, co jest średnią klasą wysokiego ryzyka.</w:t>
      </w:r>
      <w:r>
        <w:rPr xmlns:w="http://schemas.openxmlformats.org/wordprocessingml/2006/main">
          <w:rFonts w:ascii="Arial" w:cs="Arial" w:eastAsia="Arial" w:hAnsi="Arial"/>
          <w:sz w:val="16"/>
          <w:szCs w:val="16"/>
          <w:color w:val="auto"/>
        </w:rPr>
        <w:t xml:space="preserve"> Klasyfikacja ta ocenia potencjalne straty wynikające z przyszłych wyników na średnio wysokim poziomie, a złe warunki rynkowe mogą wpłynąć na wartość inwestycji.</w:t>
      </w:r>
      <w:r>
        <w:rPr xmlns:w="http://schemas.openxmlformats.org/wordprocessingml/2006/main">
          <w:rFonts w:ascii="Arial" w:cs="Arial" w:eastAsia="Arial" w:hAnsi="Arial"/>
          <w:sz w:val="16"/>
          <w:szCs w:val="16"/>
          <w:color w:val="auto"/>
        </w:rPr>
        <w:t xml:space="preserve"> Klasyfikacja ta nie jest gwarantowana i może zmieniać się w czasie i może nie być wiarygodnym wskaźnikiem przyszłego profilu ryzyka Funduszu.</w:t>
      </w:r>
      <w:r>
        <w:rPr xmlns:w="http://schemas.openxmlformats.org/wordprocessingml/2006/main">
          <w:rFonts w:ascii="Arial" w:cs="Arial" w:eastAsia="Arial" w:hAnsi="Arial"/>
          <w:sz w:val="16"/>
          <w:szCs w:val="16"/>
          <w:color w:val="auto"/>
        </w:rPr>
        <w:t xml:space="preserve"> Najniższa kategoria nie oznacza braku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-338455</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8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Bądź świadomy ryzyka walutowego.</w:t>
      </w:r>
      <w:r>
        <w:rPr xmlns:w="http://schemas.openxmlformats.org/wordprocessingml/2006/main">
          <w:rFonts w:ascii="Arial" w:cs="Arial" w:eastAsia="Arial" w:hAnsi="Arial"/>
          <w:sz w:val="16"/>
          <w:szCs w:val="16"/>
          <w:color w:val="auto"/>
        </w:rPr>
        <w:t xml:space="preserve"> Jeśli otrzymasz płatności w walucie innej niż waluta bazowa produktu, ostateczny zwrot będzie zależał od kursu wymiany między tymi dwiema walutami.</w:t>
      </w:r>
      <w:r>
        <w:rPr xmlns:w="http://schemas.openxmlformats.org/wordprocessingml/2006/main">
          <w:rFonts w:ascii="Arial" w:cs="Arial" w:eastAsia="Arial" w:hAnsi="Arial"/>
          <w:sz w:val="16"/>
          <w:szCs w:val="16"/>
          <w:color w:val="auto"/>
        </w:rPr>
        <w:t xml:space="preserve"> Ryzyko to nie jest uwzględniane we wskaźniku przedstawionym powyżej.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Prospekt emisyjny produktu zawiera szczegółowe informacje na temat innych istotnych ryzyk, które mogą mieć zastosowanie do tego produktu.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Ten produkt nie obejmuje żadnej ochrony przed przyszłą sytuacją rynkową, więc możesz stracić część lub całość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Jeśli produkt nie jest w stanie spłacić należnej kwoty, możesz stracić całą swoją inwestycję.</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Scenariusze wydajności</w:t>
      </w:r>
    </w:p>
    <w:p>
      <w:pPr>
        <w:spacing w:after="0" w:line="32" w:lineRule="exact"/>
        <w:rPr>
          <w:sz w:val="20"/>
          <w:szCs w:val="20"/>
          <w:color w:val="auto"/>
        </w:rPr>
      </w:pPr>
    </w:p>
    <w:p>
      <w:pPr xmlns:w="http://schemas.openxmlformats.org/wordprocessingml/2006/main">
        <w:jc w:val="both"/>
        <w:ind w:left="40" w:right="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Podane liczby obejmują wszystkie koszty samego produktu, ale mogą nie obejmować wszystkich kosztów, które płacisz swojemu doradcy lub dystrybutorowi.</w:t>
      </w:r>
      <w:r>
        <w:rPr xmlns:w="http://schemas.openxmlformats.org/wordprocessingml/2006/main">
          <w:rFonts w:ascii="Arial" w:cs="Arial" w:eastAsia="Arial" w:hAnsi="Arial"/>
          <w:sz w:val="16"/>
          <w:szCs w:val="16"/>
          <w:color w:val="auto"/>
        </w:rPr>
        <w:t xml:space="preserve"> Liczby nie uwzględniają Twojej osobistej sytuacji podatkowej, co może mieć również wpływ na to, ile odzyskasz.</w:t>
      </w:r>
      <w:r>
        <w:rPr xmlns:w="http://schemas.openxmlformats.org/wordprocessingml/2006/main">
          <w:rFonts w:ascii="Arial" w:cs="Arial" w:eastAsia="Arial" w:hAnsi="Arial"/>
          <w:sz w:val="16"/>
          <w:szCs w:val="16"/>
          <w:color w:val="auto"/>
        </w:rPr>
        <w:t xml:space="preserve"> To, co uzyskasz z tego produktu, zależy od przyszłej wydajności rynku.</w:t>
      </w:r>
      <w:r>
        <w:rPr xmlns:w="http://schemas.openxmlformats.org/wordprocessingml/2006/main">
          <w:rFonts w:ascii="Arial" w:cs="Arial" w:eastAsia="Arial" w:hAnsi="Arial"/>
          <w:sz w:val="16"/>
          <w:szCs w:val="16"/>
          <w:color w:val="auto"/>
        </w:rPr>
        <w:t xml:space="preserve"> Rozwój rynku w przyszłości jest niepewny i nie można go dokładnie przewidzieć.</w:t>
      </w:r>
      <w:r>
        <w:rPr xmlns:w="http://schemas.openxmlformats.org/wordprocessingml/2006/main">
          <w:rFonts w:ascii="Arial" w:cs="Arial" w:eastAsia="Arial" w:hAnsi="Arial"/>
          <w:sz w:val="16"/>
          <w:szCs w:val="16"/>
          <w:color w:val="auto"/>
        </w:rPr>
        <w:t xml:space="preserve"> Pokazane scenariusze niekorzystne, umiarkowane i korzystne to ilustracje wykorzystujące najgorszą, średnią i najlepszą wydajność produktu, która może obejmować dane wejściowe z wskaźnika referencyjnego (wskaźników referencyjnych) / wskaźnika zastępczego, z ostatnich dziesięciu lat.</w:t>
      </w:r>
      <w:r>
        <w:rPr xmlns:w="http://schemas.openxmlformats.org/wordprocessingml/2006/main">
          <w:rFonts w:ascii="Arial" w:cs="Arial" w:eastAsia="Arial" w:hAnsi="Arial"/>
          <w:sz w:val="16"/>
          <w:szCs w:val="16"/>
          <w:color w:val="auto"/>
        </w:rPr>
        <w:t xml:space="preserve"> Rynki mogą w przyszłości rozwijać się zupełnie inaczej.</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590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Zalecany okres utrzymywania: 5 lat</w:t>
            </w:r>
          </w:p>
        </w:tc>
        <w:tc>
          <w:tcPr>
            <w:tcW w:w="4880" w:type="dxa"/>
            <w:vAlign w:val="bottom"/>
            <w:gridSpan w:val="2"/>
            <w:shd w:val="clear" w:color="auto" w:fill="000000"/>
          </w:tcPr>
          <w:p>
            <w:pPr xmlns:w="http://schemas.openxmlformats.org/wordprocessingml/2006/main">
              <w:ind w:left="19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Przykładowa inwestycja: 10 000 USD</w:t>
            </w:r>
          </w:p>
        </w:tc>
      </w:tr>
      <w:tr>
        <w:trPr>
          <w:trHeight w:val="223"/>
        </w:trPr>
        <w:tc>
          <w:tcPr>
            <w:tcW w:w="190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Scenariusze</w:t>
            </w:r>
          </w:p>
        </w:tc>
        <w:tc>
          <w:tcPr>
            <w:tcW w:w="4000" w:type="dxa"/>
            <w:vAlign w:val="bottom"/>
            <w:tcBorders>
              <w:bottom w:val="single" w:sz="8" w:color="auto"/>
            </w:tcBorders>
            <w:shd w:val="clear" w:color="auto" w:fill="000000"/>
          </w:tcPr>
          <w:p>
            <w:pPr>
              <w:spacing w:after="0"/>
              <w:rPr>
                <w:sz w:val="19"/>
                <w:szCs w:val="19"/>
                <w:color w:val="auto"/>
              </w:rPr>
            </w:pPr>
          </w:p>
        </w:tc>
        <w:tc>
          <w:tcPr>
            <w:tcW w:w="2920" w:type="dxa"/>
            <w:vAlign w:val="bottom"/>
            <w:tcBorders>
              <w:bottom w:val="single" w:sz="8" w:color="auto"/>
            </w:tcBorders>
            <w:shd w:val="clear" w:color="auto" w:fill="000000"/>
          </w:tcPr>
          <w:p>
            <w:pPr xmlns:w="http://schemas.openxmlformats.org/wordprocessingml/2006/main">
              <w:ind w:left="11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wyjdziesz po 1 roku</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Wyjście z programu po 5 latach</w:t>
            </w:r>
          </w:p>
        </w:tc>
      </w:tr>
      <w:tr>
        <w:trPr>
          <w:trHeight w:val="187"/>
        </w:trPr>
        <w:tc>
          <w:tcPr>
            <w:tcW w:w="19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Minimalne</w:t>
            </w:r>
          </w:p>
        </w:tc>
        <w:tc>
          <w:tcPr>
            <w:tcW w:w="6920" w:type="dxa"/>
            <w:vAlign w:val="bottom"/>
            <w:tcBorders>
              <w:bottom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Nie ma minimalnego gwarantowanego zwrotu.</w:t>
            </w:r>
            <w:r>
              <w:rPr xmlns:w="http://schemas.openxmlformats.org/wordprocessingml/2006/main">
                <w:rFonts w:ascii="Arial" w:cs="Arial" w:eastAsia="Arial" w:hAnsi="Arial"/>
                <w:sz w:val="16"/>
                <w:szCs w:val="16"/>
                <w:b w:val="1"/>
                <w:bCs w:val="1"/>
                <w:color w:val="auto"/>
              </w:rPr>
              <w:t xml:space="preserve"> Możesz stracić część lub całość inwestycji.</w:t>
            </w:r>
          </w:p>
        </w:tc>
        <w:tc>
          <w:tcPr>
            <w:tcW w:w="1980" w:type="dxa"/>
            <w:vAlign w:val="bottom"/>
            <w:tcBorders>
              <w:bottom w:val="single" w:sz="8" w:color="auto"/>
            </w:tcBorders>
          </w:tcPr>
          <w:p>
            <w:pPr>
              <w:spacing w:after="0"/>
              <w:rPr>
                <w:sz w:val="16"/>
                <w:szCs w:val="16"/>
                <w:color w:val="auto"/>
              </w:rPr>
            </w:pP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Stres*</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5 830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1 580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- 41,7%</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- 30,9%</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Niekorzystny**</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6 280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4 430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- 37,2%</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- 15,0%</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Umiarkowane***</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10 100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21 660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16,7%</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Korzystne****</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25 080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38 030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150.8%</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30,6%</w:t>
            </w:r>
          </w:p>
        </w:tc>
      </w:tr>
    </w:tbl>
    <w:p>
      <w:pPr>
        <w:spacing w:after="0" w:line="18" w:lineRule="exact"/>
        <w:rPr>
          <w:sz w:val="20"/>
          <w:szCs w:val="20"/>
          <w:color w:val="auto"/>
        </w:rPr>
      </w:pPr>
    </w:p>
    <w:p>
      <w:pPr xmlns:w="http://schemas.openxmlformats.org/wordprocessingml/2006/main">
        <w:ind w:left="400" w:hanging="388"/>
        <w:spacing w:after="0"/>
        <w:tabs>
          <w:tab w:leader="none" w:pos="40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Scenariusz warunków skrajnych pokazuje, co możesz odzyskać w ekstremalnych warunkach rynkowych.</w:t>
      </w:r>
    </w:p>
    <w:p>
      <w:pPr>
        <w:spacing w:after="0" w:line="11" w:lineRule="exact"/>
        <w:rPr>
          <w:rFonts w:ascii="Arial" w:cs="Arial" w:eastAsia="Arial" w:hAnsi="Arial"/>
          <w:sz w:val="16"/>
          <w:szCs w:val="16"/>
          <w:color w:val="auto"/>
        </w:rPr>
      </w:pPr>
    </w:p>
    <w:p>
      <w:pPr xmlns:w="http://schemas.openxmlformats.org/wordprocessingml/2006/main">
        <w:ind w:left="400" w:hanging="387"/>
        <w:spacing w:after="0" w:line="185" w:lineRule="auto"/>
        <w:tabs>
          <w:tab w:leader="none" w:pos="400" w:val="left"/>
        </w:tabs>
        <w:numPr>
          <w:ilvl w:val="0"/>
          <w:numId w:val="2"/>
        </w:numPr>
        <w:rPr>
          <w:rFonts w:ascii="Arial" w:cs="Arial" w:eastAsia="Arial" w:hAnsi="Arial"/>
          <w:sz w:val="25"/>
          <w:szCs w:val="25"/>
          <w:color w:val="auto"/>
          <w:vertAlign w:val="subscript"/>
        </w:rPr>
      </w:pPr>
      <w:r>
        <w:rPr xmlns:w="http://schemas.openxmlformats.org/wordprocessingml/2006/main">
          <w:rFonts w:ascii="Arial" w:cs="Arial" w:eastAsia="Arial" w:hAnsi="Arial"/>
          <w:sz w:val="13"/>
          <w:szCs w:val="13"/>
          <w:color w:val="auto"/>
        </w:rPr>
        <w:t xml:space="preserve">Ten rodzaj scenariusza miał miejsce w przypadku inwestycji w produkt i/lub wskaźnik(-y) referencyjny(-e) lub wskaźnik zastępczy w okresie od stycznia 2021 r. do października 2023 r.</w:t>
      </w:r>
    </w:p>
    <w:p>
      <w:pPr>
        <w:spacing w:after="0" w:line="54" w:lineRule="exact"/>
        <w:rPr>
          <w:rFonts w:ascii="Arial" w:cs="Arial" w:eastAsia="Arial" w:hAnsi="Arial"/>
          <w:sz w:val="25"/>
          <w:szCs w:val="25"/>
          <w:color w:val="auto"/>
          <w:vertAlign w:val="subscript"/>
        </w:rPr>
      </w:pPr>
    </w:p>
    <w:p>
      <w:pPr xmlns:w="http://schemas.openxmlformats.org/wordprocessingml/2006/main">
        <w:ind w:left="400" w:hanging="387"/>
        <w:spacing w:after="0" w:line="184" w:lineRule="auto"/>
        <w:tabs>
          <w:tab w:leader="none" w:pos="400" w:val="left"/>
        </w:tabs>
        <w:numPr>
          <w:ilvl w:val="0"/>
          <w:numId w:val="3"/>
        </w:numPr>
        <w:rPr>
          <w:rFonts w:ascii="Arial" w:cs="Arial" w:eastAsia="Arial" w:hAnsi="Arial"/>
          <w:sz w:val="21"/>
          <w:szCs w:val="21"/>
          <w:color w:val="auto"/>
          <w:vertAlign w:val="subscript"/>
        </w:rPr>
      </w:pPr>
      <w:r>
        <w:rPr xmlns:w="http://schemas.openxmlformats.org/wordprocessingml/2006/main">
          <w:rFonts w:ascii="Arial" w:cs="Arial" w:eastAsia="Arial" w:hAnsi="Arial"/>
          <w:sz w:val="12"/>
          <w:szCs w:val="12"/>
          <w:color w:val="auto"/>
        </w:rPr>
        <w:t xml:space="preserve">Ten rodzaj scenariusza miał miejsce w przypadku inwestycji w produkt lub wskaźnik referencyjny (wskaźniki referencyjne) lub wskaźnik zastępczy w okresie od lutego 2018 r. do lutego 2023 r.</w:t>
      </w:r>
    </w:p>
    <w:p>
      <w:pPr>
        <w:spacing w:after="0" w:line="54" w:lineRule="exact"/>
        <w:rPr>
          <w:rFonts w:ascii="Arial" w:cs="Arial" w:eastAsia="Arial" w:hAnsi="Arial"/>
          <w:sz w:val="21"/>
          <w:szCs w:val="21"/>
          <w:color w:val="auto"/>
          <w:vertAlign w:val="subscript"/>
        </w:rPr>
      </w:pPr>
    </w:p>
    <w:p>
      <w:pPr xmlns:w="http://schemas.openxmlformats.org/wordprocessingml/2006/main">
        <w:ind w:left="400" w:hanging="387"/>
        <w:spacing w:after="0" w:line="184" w:lineRule="auto"/>
        <w:tabs>
          <w:tab w:leader="none" w:pos="400" w:val="left"/>
        </w:tabs>
        <w:numPr>
          <w:ilvl w:val="0"/>
          <w:numId w:val="4"/>
        </w:numPr>
        <w:rPr>
          <w:rFonts w:ascii="Arial" w:cs="Arial" w:eastAsia="Arial" w:hAnsi="Arial"/>
          <w:sz w:val="21"/>
          <w:szCs w:val="21"/>
          <w:color w:val="auto"/>
          <w:vertAlign w:val="subscript"/>
        </w:rPr>
      </w:pPr>
      <w:r>
        <w:rPr xmlns:w="http://schemas.openxmlformats.org/wordprocessingml/2006/main">
          <w:rFonts w:ascii="Arial" w:cs="Arial" w:eastAsia="Arial" w:hAnsi="Arial"/>
          <w:sz w:val="12"/>
          <w:szCs w:val="12"/>
          <w:color w:val="auto"/>
        </w:rPr>
        <w:t xml:space="preserve">Ten rodzaj scenariusza miał miejsce w przypadku inwestycji w produkt lub wskaźnik referencyjny (wskaźniki referencyjne) lub wskaźnik zastępczy w okresie od stycznia 2016 r. do stycznia 2021 r.</w:t>
      </w:r>
    </w:p>
    <w:p>
      <w:pPr>
        <w:spacing w:after="0" w:line="5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się stanie, jeśli BlackRock Asset Management Ireland Limited nie będzie w stanie wypłacić?</w:t>
      </w:r>
    </w:p>
    <w:p>
      <w:pPr>
        <w:spacing w:after="0" w:line="16"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Aktywa Funduszu przechowywane są w depozytariuszu, State Street Custodial Services (Ireland) Limited ("Depozytariusz").</w:t>
      </w:r>
      <w:r>
        <w:rPr xmlns:w="http://schemas.openxmlformats.org/wordprocessingml/2006/main">
          <w:rFonts w:ascii="Arial" w:cs="Arial" w:eastAsia="Arial" w:hAnsi="Arial"/>
          <w:sz w:val="16"/>
          <w:szCs w:val="16"/>
          <w:color w:val="auto"/>
        </w:rPr>
        <w:t xml:space="preserve"> W przypadku niewypłacalności Zarządzającego majątek Funduszu przechowywany przez Depozytariusza nie ulegnie zmianie.</w:t>
      </w:r>
      <w:r>
        <w:rPr xmlns:w="http://schemas.openxmlformats.org/wordprocessingml/2006/main">
          <w:rFonts w:ascii="Arial" w:cs="Arial" w:eastAsia="Arial" w:hAnsi="Arial"/>
          <w:sz w:val="16"/>
          <w:szCs w:val="16"/>
          <w:color w:val="auto"/>
        </w:rPr>
        <w:t xml:space="preserve"> Jednak w przypadku niewypłacalności depozytariusza lub osoby działającej w jego imieniu Fundusz może ponieść stratę finansową.</w:t>
      </w:r>
      <w:r>
        <w:rPr xmlns:w="http://schemas.openxmlformats.org/wordprocessingml/2006/main">
          <w:rFonts w:ascii="Arial" w:cs="Arial" w:eastAsia="Arial" w:hAnsi="Arial"/>
          <w:sz w:val="16"/>
          <w:szCs w:val="16"/>
          <w:color w:val="auto"/>
        </w:rPr>
        <w:t xml:space="preserve"> Ryzyko to jest jednak w pewnym stopniu ograniczane przez fakt, że depozytariusz jest zobowiązany na mocy przepisów ustawowych i wykonawczych do oddzielenia aktywów własnych od aktywów Funduszu.</w:t>
      </w:r>
      <w:r>
        <w:rPr xmlns:w="http://schemas.openxmlformats.org/wordprocessingml/2006/main">
          <w:rFonts w:ascii="Arial" w:cs="Arial" w:eastAsia="Arial" w:hAnsi="Arial"/>
          <w:sz w:val="16"/>
          <w:szCs w:val="16"/>
          <w:color w:val="auto"/>
        </w:rPr>
        <w:t xml:space="preserve"> Depozytariusz będzie również odpowiedzialny wobec Funduszu i inwestorów za wszelkie straty wynikające między innymi z jego zaniedbania, oszustwa lub umyślnego niewłaściwego wypełnienia jego obowiązków (z zastrzeżeniem pewnych ograniczeń).</w:t>
      </w:r>
      <w:r>
        <w:rPr xmlns:w="http://schemas.openxmlformats.org/wordprocessingml/2006/main">
          <w:rFonts w:ascii="Arial" w:cs="Arial" w:eastAsia="Arial" w:hAnsi="Arial"/>
          <w:sz w:val="16"/>
          <w:szCs w:val="16"/>
          <w:color w:val="auto"/>
        </w:rPr>
        <w:t xml:space="preserve"> Jako udziałowiec funduszu nie byłbyś w stanie wystąpić z roszczeniem do brytyjskiego systemu rekompensat z tytułu usług finansowych ani żadnego innego systemu dotyczącego funduszu w przypadku, gdyby fundusz nie był w stanie wypłacić.</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80"/>
          </w:cols>
          <w:pgMar w:left="56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są koszty?</w:t>
      </w:r>
    </w:p>
    <w:p>
      <w:pPr>
        <w:spacing w:after="0" w:line="28" w:lineRule="exact"/>
        <w:rPr>
          <w:sz w:val="20"/>
          <w:szCs w:val="20"/>
          <w:color w:val="auto"/>
        </w:rPr>
      </w:pPr>
    </w:p>
    <w:p>
      <w:pPr xmlns:w="http://schemas.openxmlformats.org/wordprocessingml/2006/main">
        <w:jc w:val="both"/>
        <w:ind w:left="20" w:right="40"/>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Osoba doradzająca lub sprzedająca Ci ten produkt może naliczyć Ci inne koszty.</w:t>
      </w:r>
      <w:r>
        <w:rPr xmlns:w="http://schemas.openxmlformats.org/wordprocessingml/2006/main">
          <w:rFonts w:ascii="Arial" w:cs="Arial" w:eastAsia="Arial" w:hAnsi="Arial"/>
          <w:sz w:val="16"/>
          <w:szCs w:val="16"/>
          <w:color w:val="auto"/>
        </w:rPr>
        <w:t xml:space="preserve"> Jeśli tak, osoba ta przekaże Ci informacje o tych kosztach i ich wpływie na Twoją inwestycję.</w:t>
      </w:r>
    </w:p>
    <w:p>
      <w:pPr>
        <w:spacing w:after="0" w:line="1"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Koszty w czasie:</w:t>
      </w:r>
      <w:r>
        <w:rPr xmlns:w="http://schemas.openxmlformats.org/wordprocessingml/2006/main">
          <w:rFonts w:ascii="Arial" w:cs="Arial" w:eastAsia="Arial" w:hAnsi="Arial"/>
          <w:sz w:val="16"/>
          <w:szCs w:val="16"/>
          <w:color w:val="auto"/>
        </w:rPr>
        <w:t xml:space="preserve"> Tabele przedstawiają kwoty, które są pobierane z inwestycji w celu pokrycia różnych rodzajów kosztów.</w:t>
      </w:r>
      <w:r>
        <w:rPr xmlns:w="http://schemas.openxmlformats.org/wordprocessingml/2006/main">
          <w:rFonts w:ascii="Arial" w:cs="Arial" w:eastAsia="Arial" w:hAnsi="Arial"/>
          <w:sz w:val="16"/>
          <w:szCs w:val="16"/>
          <w:color w:val="auto"/>
        </w:rPr>
        <w:t xml:space="preserve"> Kwoty te zależą od tego, ile zainwestujesz, jak długo przechowujesz produkt i jak dobrze działa produkt.</w:t>
      </w:r>
      <w:r>
        <w:rPr xmlns:w="http://schemas.openxmlformats.org/wordprocessingml/2006/main">
          <w:rFonts w:ascii="Arial" w:cs="Arial" w:eastAsia="Arial" w:hAnsi="Arial"/>
          <w:sz w:val="16"/>
          <w:szCs w:val="16"/>
          <w:color w:val="auto"/>
        </w:rPr>
        <w:t xml:space="preserve"> Przedstawione tu kwoty są ilustracjami opartymi na przykładowej kwocie inwestycji i różnych możliwych okresach inwestycji.</w:t>
      </w:r>
    </w:p>
    <w:tbl>
      <w:tblPr>
        <w:tblLayout w:type="fixed"/>
        <w:tblInd w:w="0" w:type="dxa"/>
        <w:tblCellMar>
          <w:top w:w="0" w:type="dxa"/>
          <w:left w:w="0" w:type="dxa"/>
          <w:bottom w:w="0" w:type="dxa"/>
          <w:right w:w="0" w:type="dxa"/>
        </w:tblCellMar>
      </w:tblPr>
      <w:tr>
        <w:trPr>
          <w:trHeight w:val="188"/>
        </w:trPr>
        <w:tc>
          <w:tcPr>
            <w:tcW w:w="68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Założyliśmy:</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0"/>
        </w:trPr>
        <w:tc>
          <w:tcPr>
            <w:tcW w:w="686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 pierwszym roku otrzymasz kwotę, którą zainwestowałeś (0% rocznego zwrotu).</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2"/>
        </w:trPr>
        <w:tc>
          <w:tcPr>
            <w:tcW w:w="8820" w:type="dxa"/>
            <w:vAlign w:val="bottom"/>
            <w:gridSpan w:val="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 odniesieniu do pozostałych okresów utrzymywania zasobów założyliśmy, że produkt działa zgodnie ze scenariuszem umiarkowanym.</w:t>
            </w:r>
          </w:p>
        </w:tc>
        <w:tc>
          <w:tcPr>
            <w:tcW w:w="1980" w:type="dxa"/>
            <w:vAlign w:val="bottom"/>
          </w:tcPr>
          <w:p>
            <w:pPr>
              <w:spacing w:after="0"/>
              <w:rPr>
                <w:sz w:val="16"/>
                <w:szCs w:val="16"/>
                <w:color w:val="auto"/>
              </w:rPr>
            </w:pPr>
          </w:p>
        </w:tc>
      </w:tr>
      <w:tr>
        <w:trPr>
          <w:trHeight w:val="176"/>
        </w:trPr>
        <w:tc>
          <w:tcPr>
            <w:tcW w:w="6860" w:type="dxa"/>
            <w:vAlign w:val="bottom"/>
          </w:tcPr>
          <w:p>
            <w:pPr xmlns:w="http://schemas.openxmlformats.org/wordprocessingml/2006/main">
              <w:ind w:left="28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Zainwestowano 10 000 dolarów.</w:t>
            </w:r>
          </w:p>
        </w:tc>
        <w:tc>
          <w:tcPr>
            <w:tcW w:w="1960" w:type="dxa"/>
            <w:vAlign w:val="bottom"/>
          </w:tcPr>
          <w:p>
            <w:pPr>
              <w:spacing w:after="0"/>
              <w:rPr>
                <w:sz w:val="15"/>
                <w:szCs w:val="15"/>
                <w:color w:val="auto"/>
              </w:rPr>
            </w:pPr>
          </w:p>
        </w:tc>
        <w:tc>
          <w:tcPr>
            <w:tcW w:w="1980" w:type="dxa"/>
            <w:vAlign w:val="bottom"/>
          </w:tcPr>
          <w:p>
            <w:pPr>
              <w:spacing w:after="0"/>
              <w:rPr>
                <w:sz w:val="15"/>
                <w:szCs w:val="15"/>
                <w:color w:val="auto"/>
              </w:rPr>
            </w:pPr>
          </w:p>
        </w:tc>
      </w:tr>
      <w:tr>
        <w:trPr>
          <w:trHeight w:val="192"/>
        </w:trPr>
        <w:tc>
          <w:tcPr>
            <w:tcW w:w="6860" w:type="dxa"/>
            <w:vAlign w:val="bottom"/>
            <w:tcBorders>
              <w:bottom w:val="single" w:sz="8" w:color="auto"/>
            </w:tcBorders>
            <w:shd w:val="clear" w:color="auto" w:fill="000000"/>
          </w:tcPr>
          <w:p>
            <w:pPr>
              <w:spacing w:after="0"/>
              <w:rPr>
                <w:sz w:val="16"/>
                <w:szCs w:val="16"/>
                <w:color w:val="auto"/>
              </w:rPr>
            </w:pPr>
          </w:p>
        </w:tc>
        <w:tc>
          <w:tcPr>
            <w:tcW w:w="1960" w:type="dxa"/>
            <w:vAlign w:val="bottom"/>
            <w:tcBorders>
              <w:bottom w:val="single" w:sz="8" w:color="auto"/>
            </w:tcBorders>
            <w:shd w:val="clear" w:color="auto" w:fill="00000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wyjdziesz po 1 roku</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Wyjście z programu po 5 latach</w:t>
            </w:r>
          </w:p>
        </w:tc>
      </w:tr>
      <w:tr>
        <w:trPr>
          <w:trHeight w:val="187"/>
        </w:trPr>
        <w:tc>
          <w:tcPr>
            <w:tcW w:w="686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ogółem</w:t>
            </w:r>
          </w:p>
        </w:tc>
        <w:tc>
          <w:tcPr>
            <w:tcW w:w="1960" w:type="dxa"/>
            <w:vAlign w:val="bottom"/>
            <w:tcBorders>
              <w:bottom w:val="single" w:sz="8" w:color="auto"/>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72 USD</w:t>
            </w:r>
          </w:p>
        </w:tc>
        <w:tc>
          <w:tcPr>
            <w:tcW w:w="1980" w:type="dxa"/>
            <w:vAlign w:val="bottom"/>
            <w:tcBorders>
              <w:bottom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790 USD</w:t>
            </w:r>
          </w:p>
        </w:tc>
      </w:tr>
      <w:tr>
        <w:trPr>
          <w:trHeight w:val="177"/>
        </w:trPr>
        <w:tc>
          <w:tcPr>
            <w:tcW w:w="686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Roczny wpływ na koszty (*)</w:t>
            </w:r>
          </w:p>
        </w:tc>
        <w:tc>
          <w:tcPr>
            <w:tcW w:w="1960" w:type="dxa"/>
            <w:vAlign w:val="bottom"/>
            <w:tcBorders>
              <w:bottom w:val="single" w:sz="8" w:color="auto"/>
            </w:tcBorders>
          </w:tcPr>
          <w:p>
            <w:pPr xmlns:w="http://schemas.openxmlformats.org/wordprocessingml/2006/main">
              <w:ind w:left="1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0.7%</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-702945</wp:posOffset>
            </wp:positionV>
            <wp:extent cx="71755" cy="717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-581025</wp:posOffset>
            </wp:positionV>
            <wp:extent cx="71755" cy="717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-459740</wp:posOffset>
            </wp:positionV>
            <wp:extent cx="71755" cy="717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right="40" w:hanging="8"/>
        <w:spacing w:after="0" w:line="252" w:lineRule="auto"/>
        <w:tabs>
          <w:tab w:leader="none" w:pos="246"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Pokazuje to, w jaki sposób koszty zmniejszają zwrot z inwestycji każdego roku w okresie utrzymywania.</w:t>
      </w:r>
      <w:r>
        <w:rPr xmlns:w="http://schemas.openxmlformats.org/wordprocessingml/2006/main">
          <w:rFonts w:ascii="Arial" w:cs="Arial" w:eastAsia="Arial" w:hAnsi="Arial"/>
          <w:sz w:val="16"/>
          <w:szCs w:val="16"/>
          <w:color w:val="auto"/>
        </w:rPr>
        <w:t xml:space="preserve"> Na przykład pokazuje to, że jeśli opuścisz zakład w zalecanym okresie utrzymywania, średni zwrot z inwestycji w ciągu roku wyniesie 17.6 % przed kosztami i 16.7 % po kosztach.</w:t>
      </w:r>
    </w:p>
    <w:p>
      <w:pPr>
        <w:spacing w:after="0" w:line="1" w:lineRule="exact"/>
        <w:rPr>
          <w:rFonts w:ascii="Arial" w:cs="Arial" w:eastAsia="Arial" w:hAnsi="Arial"/>
          <w:sz w:val="16"/>
          <w:szCs w:val="16"/>
          <w:color w:val="auto"/>
        </w:rPr>
      </w:pPr>
    </w:p>
    <w:p>
      <w:pPr xmlns:w="http://schemas.openxmlformats.org/wordprocessingml/2006/main">
        <w:ind w:left="20" w:right="40"/>
        <w:spacing w:after="0" w:line="249"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Możemy podzielić się częścią kosztów z osobą sprzedającą Ci produkt, aby pokryć usługi, które Ci świadczą.</w:t>
      </w:r>
      <w:r>
        <w:rPr xmlns:w="http://schemas.openxmlformats.org/wordprocessingml/2006/main">
          <w:rFonts w:ascii="Arial" w:cs="Arial" w:eastAsia="Arial" w:hAnsi="Arial"/>
          <w:sz w:val="16"/>
          <w:szCs w:val="16"/>
          <w:color w:val="auto"/>
        </w:rPr>
        <w:t xml:space="preserve"> Poinformują Cię o kwocie.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108585</wp:posOffset>
            </wp:positionV>
            <wp:extent cx="6840220" cy="37465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w:spacing w:after="0" w:line="172"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Struktura kosztów</w:t>
      </w:r>
    </w:p>
    <w:p>
      <w:pPr>
        <w:spacing w:after="0" w:line="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980" w:type="dxa"/>
            <w:vAlign w:val="bottom"/>
          </w:tcPr>
          <w:p>
            <w:pPr>
              <w:spacing w:after="0"/>
              <w:rPr>
                <w:sz w:val="16"/>
                <w:szCs w:val="16"/>
                <w:color w:val="auto"/>
              </w:rPr>
            </w:pPr>
          </w:p>
        </w:tc>
        <w:tc>
          <w:tcPr>
            <w:tcW w:w="7160" w:type="dxa"/>
            <w:vAlign w:val="bottom"/>
          </w:tcPr>
          <w:p>
            <w:pPr>
              <w:spacing w:after="0"/>
              <w:rPr>
                <w:sz w:val="16"/>
                <w:szCs w:val="16"/>
                <w:color w:val="auto"/>
              </w:rPr>
            </w:pP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wyjdziesz po 1</w:t>
            </w:r>
          </w:p>
        </w:tc>
      </w:tr>
      <w:tr>
        <w:trPr>
          <w:trHeight w:val="176"/>
        </w:trPr>
        <w:tc>
          <w:tcPr>
            <w:tcW w:w="9140" w:type="dxa"/>
            <w:vAlign w:val="bottom"/>
            <w:tcBorders>
              <w:bottom w:val="single" w:sz="8" w:color="auto"/>
            </w:tcBorders>
            <w:gridSpan w:val="2"/>
          </w:tcPr>
          <w:p>
            <w:pPr xmlns:w="http://schemas.openxmlformats.org/wordprocessingml/2006/main">
              <w:ind w:left="4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Jednorazowe koszty przy wjeździe lub wyjeździe</w:t>
            </w:r>
          </w:p>
        </w:tc>
        <w:tc>
          <w:tcPr>
            <w:tcW w:w="1660" w:type="dxa"/>
            <w:vAlign w:val="bottom"/>
            <w:tcBorders>
              <w:bottom w:val="single" w:sz="8" w:color="auto"/>
            </w:tcBorders>
          </w:tcPr>
          <w:p>
            <w:pPr xmlns:w="http://schemas.openxmlformats.org/wordprocessingml/2006/main">
              <w:ind w:left="6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rok</w:t>
            </w:r>
          </w:p>
        </w:tc>
      </w:tr>
      <w:tr>
        <w:trPr>
          <w:trHeight w:val="187"/>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wejścia</w:t>
            </w:r>
          </w:p>
        </w:tc>
        <w:tc>
          <w:tcPr>
            <w:tcW w:w="7160" w:type="dxa"/>
            <w:vAlign w:val="bottom"/>
            <w:tcBorders>
              <w:bottom w:val="single" w:sz="8" w:color="auto"/>
            </w:tcBorders>
          </w:tcPr>
          <w:p>
            <w:pPr xmlns:w="http://schemas.openxmlformats.org/wordprocessingml/2006/main">
              <w:ind w:left="220"/>
              <w:spacing w:after="0" w:line="187" w:lineRule="exact"/>
              <w:rPr>
                <w:sz w:val="20"/>
                <w:szCs w:val="20"/>
                <w:color w:val="auto"/>
              </w:rPr>
            </w:pPr>
            <w:r>
              <w:rPr xmlns:w="http://schemas.openxmlformats.org/wordprocessingml/2006/main">
                <w:rFonts w:ascii="Arial" w:cs="Arial" w:eastAsia="Arial" w:hAnsi="Arial"/>
                <w:sz w:val="14"/>
                <w:szCs w:val="14"/>
                <w:color w:val="auto"/>
              </w:rPr>
              <w:t xml:space="preserve">Nie pobieramy opłaty za wstęp.</w:t>
            </w:r>
            <w:r>
              <w:rPr xmlns:w="http://schemas.openxmlformats.org/wordprocessingml/2006/main">
                <w:rFonts w:ascii="Arial" w:cs="Arial" w:eastAsia="Arial" w:hAnsi="Arial"/>
                <w:sz w:val="21"/>
                <w:szCs w:val="21"/>
                <w:color w:val="auto"/>
                <w:vertAlign w:val="superscript"/>
              </w:rPr>
              <w:t xml:space="preserve">1</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r>
        <w:trPr>
          <w:trHeight w:val="177"/>
        </w:trPr>
        <w:tc>
          <w:tcPr>
            <w:tcW w:w="198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Koszty wyjścia</w:t>
            </w:r>
          </w:p>
        </w:tc>
        <w:tc>
          <w:tcPr>
            <w:tcW w:w="7160" w:type="dxa"/>
            <w:vAlign w:val="bottom"/>
          </w:tcPr>
          <w:p>
            <w:pPr xmlns:w="http://schemas.openxmlformats.org/wordprocessingml/2006/main">
              <w:ind w:left="220"/>
              <w:spacing w:after="0" w:line="177" w:lineRule="exact"/>
              <w:rPr>
                <w:sz w:val="20"/>
                <w:szCs w:val="20"/>
                <w:color w:val="auto"/>
              </w:rPr>
            </w:pPr>
            <w:r>
              <w:rPr xmlns:w="http://schemas.openxmlformats.org/wordprocessingml/2006/main">
                <w:rFonts w:ascii="Arial" w:cs="Arial" w:eastAsia="Arial" w:hAnsi="Arial"/>
                <w:sz w:val="14"/>
                <w:szCs w:val="14"/>
                <w:color w:val="auto"/>
              </w:rPr>
              <w:t xml:space="preserve">Nie pobieramy opłaty za wyjazd.</w:t>
            </w:r>
            <w:r>
              <w:rPr xmlns:w="http://schemas.openxmlformats.org/wordprocessingml/2006/main">
                <w:rFonts w:ascii="Arial" w:cs="Arial" w:eastAsia="Arial" w:hAnsi="Arial"/>
                <w:sz w:val="20"/>
                <w:szCs w:val="20"/>
                <w:color w:val="auto"/>
                <w:vertAlign w:val="superscript"/>
              </w:rPr>
              <w:t xml:space="preserve">1</w:t>
            </w:r>
          </w:p>
        </w:tc>
        <w:tc>
          <w:tcPr>
            <w:tcW w:w="1660" w:type="dxa"/>
            <w:vAlign w:val="bottom"/>
          </w:tcPr>
          <w:p>
            <w:pPr xmlns:w="http://schemas.openxmlformats.org/wordprocessingml/2006/main">
              <w:ind w:left="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w:t>
            </w: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Koszty bieżące ponoszone każdego roku</w:t>
            </w:r>
          </w:p>
        </w:tc>
        <w:tc>
          <w:tcPr>
            <w:tcW w:w="1660" w:type="dxa"/>
            <w:vAlign w:val="bottom"/>
            <w:shd w:val="clear" w:color="auto" w:fill="000000"/>
          </w:tcPr>
          <w:p>
            <w:pPr>
              <w:spacing w:after="0"/>
              <w:rPr>
                <w:sz w:val="17"/>
                <w:szCs w:val="17"/>
                <w:color w:val="auto"/>
              </w:rPr>
            </w:pPr>
          </w:p>
        </w:tc>
      </w:tr>
      <w:tr>
        <w:trPr>
          <w:trHeight w:val="209"/>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zarządzanie i</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0.65% wartości inwestycji rocznie.</w:t>
            </w:r>
            <w:r>
              <w:rPr xmlns:w="http://schemas.openxmlformats.org/wordprocessingml/2006/main">
                <w:rFonts w:ascii="Arial" w:cs="Arial" w:eastAsia="Arial" w:hAnsi="Arial"/>
                <w:sz w:val="16"/>
                <w:szCs w:val="16"/>
                <w:color w:val="auto"/>
              </w:rPr>
              <w:t xml:space="preserve"> Jest to oparte na kombinacji szacunkowych wartości</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65 USD</w:t>
            </w:r>
          </w:p>
        </w:tc>
      </w:tr>
      <w:tr>
        <w:trPr>
          <w:trHeight w:val="192"/>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innego rodzaju</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oraz dane dotyczące rzeczywistych kosztów w ciągu ostatniego roku.</w:t>
            </w:r>
            <w:r>
              <w:rPr xmlns:w="http://schemas.openxmlformats.org/wordprocessingml/2006/main">
                <w:rFonts w:ascii="Arial" w:cs="Arial" w:eastAsia="Arial" w:hAnsi="Arial"/>
                <w:sz w:val="16"/>
                <w:szCs w:val="16"/>
                <w:color w:val="auto"/>
              </w:rPr>
              <w:t xml:space="preserve"> Wszelkie koszty związane z produktem są uwzględnione w tym miejscu</w:t>
            </w:r>
          </w:p>
        </w:tc>
        <w:tc>
          <w:tcPr>
            <w:tcW w:w="1660" w:type="dxa"/>
            <w:vAlign w:val="bottom"/>
          </w:tcPr>
          <w:p>
            <w:pPr>
              <w:spacing w:after="0"/>
              <w:rPr>
                <w:sz w:val="16"/>
                <w:szCs w:val="16"/>
                <w:color w:val="auto"/>
              </w:rPr>
            </w:pPr>
          </w:p>
        </w:tc>
      </w:tr>
      <w:tr>
        <w:trPr>
          <w:trHeight w:val="190"/>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operacyjne</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z wyjątkiem kosztów transakcyjnych, które zostałyby ujęte poniżej w pozycji "Transakcja</w:t>
            </w:r>
          </w:p>
        </w:tc>
        <w:tc>
          <w:tcPr>
            <w:tcW w:w="1660" w:type="dxa"/>
            <w:vAlign w:val="bottom"/>
          </w:tcPr>
          <w:p>
            <w:pPr>
              <w:spacing w:after="0"/>
              <w:rPr>
                <w:sz w:val="16"/>
                <w:szCs w:val="16"/>
                <w:color w:val="auto"/>
              </w:rPr>
            </w:pPr>
          </w:p>
        </w:tc>
      </w:tr>
      <w:tr>
        <w:trPr>
          <w:trHeight w:val="176"/>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koszty".</w:t>
            </w:r>
          </w:p>
        </w:tc>
        <w:tc>
          <w:tcPr>
            <w:tcW w:w="1660" w:type="dxa"/>
            <w:vAlign w:val="bottom"/>
            <w:tcBorders>
              <w:bottom w:val="single" w:sz="8" w:color="auto"/>
            </w:tcBorders>
          </w:tcPr>
          <w:p>
            <w:pPr>
              <w:spacing w:after="0"/>
              <w:rPr>
                <w:sz w:val="15"/>
                <w:szCs w:val="15"/>
                <w:color w:val="auto"/>
              </w:rPr>
            </w:pPr>
          </w:p>
        </w:tc>
      </w:tr>
      <w:tr>
        <w:trPr>
          <w:trHeight w:val="194"/>
        </w:trPr>
        <w:tc>
          <w:tcPr>
            <w:tcW w:w="198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Koszty transakcyjne</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0.07% wartości inwestycji rocznie.</w:t>
            </w:r>
            <w:r>
              <w:rPr xmlns:w="http://schemas.openxmlformats.org/wordprocessingml/2006/main">
                <w:rFonts w:ascii="Arial" w:cs="Arial" w:eastAsia="Arial" w:hAnsi="Arial"/>
                <w:sz w:val="16"/>
                <w:szCs w:val="16"/>
                <w:color w:val="auto"/>
              </w:rPr>
              <w:t xml:space="preserve"> Jest to szacunek poniesionych kosztów</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7 USD</w:t>
            </w: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gdy kupujemy i sprzedajemy inwestycje bazowe dla produktu.</w:t>
            </w:r>
            <w:r>
              <w:rPr xmlns:w="http://schemas.openxmlformats.org/wordprocessingml/2006/main">
                <w:rFonts w:ascii="Arial" w:cs="Arial" w:eastAsia="Arial" w:hAnsi="Arial"/>
                <w:sz w:val="16"/>
                <w:szCs w:val="16"/>
                <w:color w:val="auto"/>
              </w:rPr>
              <w:t xml:space="preserve"> Rzeczywista kwota</w:t>
            </w:r>
          </w:p>
        </w:tc>
        <w:tc>
          <w:tcPr>
            <w:tcW w:w="1660" w:type="dxa"/>
            <w:vAlign w:val="bottom"/>
          </w:tcPr>
          <w:p>
            <w:pPr>
              <w:spacing w:after="0"/>
              <w:rPr>
                <w:sz w:val="16"/>
                <w:szCs w:val="16"/>
                <w:color w:val="auto"/>
              </w:rPr>
            </w:pPr>
          </w:p>
        </w:tc>
      </w:tr>
      <w:tr>
        <w:trPr>
          <w:trHeight w:val="176"/>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Zależy od tego, ile kupujemy i sprzedajemy.</w:t>
            </w:r>
          </w:p>
        </w:tc>
        <w:tc>
          <w:tcPr>
            <w:tcW w:w="1660" w:type="dxa"/>
            <w:vAlign w:val="bottom"/>
          </w:tcPr>
          <w:p>
            <w:pPr>
              <w:spacing w:after="0"/>
              <w:rPr>
                <w:sz w:val="15"/>
                <w:szCs w:val="15"/>
                <w:color w:val="auto"/>
              </w:rPr>
            </w:pP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Koszty uboczne ponoszone na określonych warunkach</w:t>
            </w:r>
          </w:p>
        </w:tc>
        <w:tc>
          <w:tcPr>
            <w:tcW w:w="1660" w:type="dxa"/>
            <w:vAlign w:val="bottom"/>
            <w:shd w:val="clear" w:color="auto" w:fill="000000"/>
          </w:tcPr>
          <w:p>
            <w:pPr>
              <w:spacing w:after="0"/>
              <w:rPr>
                <w:sz w:val="17"/>
                <w:szCs w:val="17"/>
                <w:color w:val="auto"/>
              </w:rPr>
            </w:pPr>
          </w:p>
        </w:tc>
      </w:tr>
      <w:tr>
        <w:trPr>
          <w:trHeight w:val="192"/>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wyniki</w:t>
            </w:r>
          </w:p>
        </w:tc>
        <w:tc>
          <w:tcPr>
            <w:tcW w:w="716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Brak opłaty za wydajność dla tego produktu.</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bl>
    <w:p>
      <w:pPr>
        <w:spacing w:after="0" w:line="13" w:lineRule="exact"/>
        <w:rPr>
          <w:sz w:val="20"/>
          <w:szCs w:val="20"/>
          <w:color w:val="auto"/>
        </w:rPr>
      </w:pPr>
    </w:p>
    <w:p>
      <w:pPr xmlns:w="http://schemas.openxmlformats.org/wordprocessingml/2006/main">
        <w:jc w:val="both"/>
        <w:ind w:left="20" w:right="40"/>
        <w:spacing w:after="0" w:line="217" w:lineRule="auto"/>
        <w:rPr>
          <w:sz w:val="20"/>
          <w:szCs w:val="20"/>
          <w:color w:val="auto"/>
        </w:rPr>
      </w:pPr>
      <w:r>
        <w:rPr xmlns:w="http://schemas.openxmlformats.org/wordprocessingml/2006/main">
          <w:rFonts w:ascii="Arial" w:cs="Arial" w:eastAsia="Arial" w:hAnsi="Arial"/>
          <w:sz w:val="24"/>
          <w:szCs w:val="24"/>
          <w:color w:val="auto"/>
          <w:vertAlign w:val="superscript"/>
        </w:rPr>
        <w:t xml:space="preserve">1</w:t>
      </w:r>
      <w:r>
        <w:rPr xmlns:w="http://schemas.openxmlformats.org/wordprocessingml/2006/main">
          <w:rFonts w:ascii="Arial" w:cs="Arial" w:eastAsia="Arial" w:hAnsi="Arial"/>
          <w:sz w:val="16"/>
          <w:szCs w:val="16"/>
          <w:color w:val="auto"/>
        </w:rPr>
        <w:t xml:space="preserve">Nie dotyczy inwestorów rynku wtórnego.</w:t>
      </w:r>
      <w:r>
        <w:rPr xmlns:w="http://schemas.openxmlformats.org/wordprocessingml/2006/main">
          <w:rFonts w:ascii="Arial" w:cs="Arial" w:eastAsia="Arial" w:hAnsi="Arial"/>
          <w:sz w:val="16"/>
          <w:szCs w:val="16"/>
          <w:color w:val="auto"/>
        </w:rPr>
        <w:t xml:space="preserve"> Inwestorzy prowadzący obrót poprzez giełdy będą ponosić opłaty pobierane przez maklerów giełdowych.</w:t>
      </w:r>
      <w:r>
        <w:rPr xmlns:w="http://schemas.openxmlformats.org/wordprocessingml/2006/main">
          <w:rFonts w:ascii="Arial" w:cs="Arial" w:eastAsia="Arial" w:hAnsi="Arial"/>
          <w:sz w:val="16"/>
          <w:szCs w:val="16"/>
          <w:color w:val="auto"/>
        </w:rPr>
        <w:t xml:space="preserve"> Takie opłaty można uzyskać na giełdach, na których akcje są notowane i znajdują się w obrocie, lub od brokerów akcji.</w:t>
      </w:r>
      <w:r>
        <w:rPr xmlns:w="http://schemas.openxmlformats.org/wordprocessingml/2006/main">
          <w:rFonts w:ascii="Arial" w:cs="Arial" w:eastAsia="Arial" w:hAnsi="Arial"/>
          <w:sz w:val="16"/>
          <w:szCs w:val="16"/>
          <w:color w:val="auto"/>
        </w:rPr>
        <w:t xml:space="preserve"> Uprawnieni uczestnicy, którzy mają bezpośredni kontakt z Funduszem lub Spółką Zarządzającą, pokryją związane z tym koszty transakcyjne.</w:t>
      </w:r>
    </w:p>
    <w:p>
      <w:pPr>
        <w:spacing w:after="0" w:line="3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długo powinienem go trzymać i czy mogę wcześnie zabrać pieniądze?</w:t>
      </w:r>
      <w:r>
        <w:rPr xmlns:w="http://schemas.openxmlformats.org/wordprocessingml/2006/main">
          <w:rFonts w:ascii="Arial" w:cs="Arial" w:eastAsia="Arial" w:hAnsi="Arial"/>
          <w:sz w:val="18"/>
          <w:szCs w:val="18"/>
          <w:b w:val="1"/>
          <w:bCs w:val="1"/>
          <w:color w:val="auto"/>
          <w:shd w:val="clear" w:color="auto" w:fill="72CA33"/>
        </w:rPr>
        <w:t xml:space="preserve"> Zalecany okres przechowywania: 5 lat</w:t>
      </w:r>
    </w:p>
    <w:p>
      <w:pPr>
        <w:spacing w:after="0" w:line="28" w:lineRule="exact"/>
        <w:rPr>
          <w:sz w:val="20"/>
          <w:szCs w:val="20"/>
          <w:color w:val="auto"/>
        </w:rPr>
      </w:pPr>
    </w:p>
    <w:p>
      <w:pPr xmlns:w="http://schemas.openxmlformats.org/wordprocessingml/2006/main">
        <w:jc w:val="both"/>
        <w:ind w:left="2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RPZ (rekomendowany okres utrzymywania aktywów) został obliczony zgodnie ze strategią inwestycyjną Funduszu oraz terminem, w którym oczekuje się, że możliwe będzie osiągnięcie celu inwestycyjnego Funduszu.</w:t>
      </w:r>
      <w:r>
        <w:rPr xmlns:w="http://schemas.openxmlformats.org/wordprocessingml/2006/main">
          <w:rFonts w:ascii="Arial" w:cs="Arial" w:eastAsia="Arial" w:hAnsi="Arial"/>
          <w:sz w:val="16"/>
          <w:szCs w:val="16"/>
          <w:color w:val="auto"/>
        </w:rPr>
        <w:t xml:space="preserve"> Każda inwestycja powinna być rozpatrywana w kontekście Twoich specyficznych potrzeb inwestycyjnych i apetytu na ryzyko.</w:t>
      </w:r>
      <w:r>
        <w:rPr xmlns:w="http://schemas.openxmlformats.org/wordprocessingml/2006/main">
          <w:rFonts w:ascii="Arial" w:cs="Arial" w:eastAsia="Arial" w:hAnsi="Arial"/>
          <w:sz w:val="16"/>
          <w:szCs w:val="16"/>
          <w:color w:val="auto"/>
        </w:rPr>
        <w:t xml:space="preserve"> Firma BlackRock nie rozważyła przydatności ani adekwatności tej inwestycji do Twoich osobistych okoliczności.</w:t>
      </w:r>
      <w:r>
        <w:rPr xmlns:w="http://schemas.openxmlformats.org/wordprocessingml/2006/main">
          <w:rFonts w:ascii="Arial" w:cs="Arial" w:eastAsia="Arial" w:hAnsi="Arial"/>
          <w:sz w:val="16"/>
          <w:szCs w:val="16"/>
          <w:color w:val="auto"/>
        </w:rPr>
        <w:t xml:space="preserve"> W przypadku jakichkolwiek wątpliwości co do adekwatności funduszu do potrzeb należy zasięgnąć fachowej porady.</w:t>
      </w:r>
      <w:r>
        <w:rPr xmlns:w="http://schemas.openxmlformats.org/wordprocessingml/2006/main">
          <w:rFonts w:ascii="Arial" w:cs="Arial" w:eastAsia="Arial" w:hAnsi="Arial"/>
          <w:sz w:val="16"/>
          <w:szCs w:val="16"/>
          <w:color w:val="auto"/>
        </w:rPr>
        <w:t xml:space="preserve"> Szczegóły dotyczące częstotliwości transakcji można znaleźć w sekcji "Co to jest ten produkt?".</w:t>
      </w:r>
      <w:r>
        <w:rPr xmlns:w="http://schemas.openxmlformats.org/wordprocessingml/2006/main">
          <w:rFonts w:ascii="Arial" w:cs="Arial" w:eastAsia="Arial" w:hAnsi="Arial"/>
          <w:sz w:val="16"/>
          <w:szCs w:val="16"/>
          <w:color w:val="auto"/>
        </w:rPr>
        <w:t xml:space="preserve"> Możesz otrzymać mniej niż oczekiwano, jeśli dokonasz wpłaty wcześniej niż RPZ.</w:t>
      </w:r>
      <w:r>
        <w:rPr xmlns:w="http://schemas.openxmlformats.org/wordprocessingml/2006/main">
          <w:rFonts w:ascii="Arial" w:cs="Arial" w:eastAsia="Arial" w:hAnsi="Arial"/>
          <w:sz w:val="16"/>
          <w:szCs w:val="16"/>
          <w:color w:val="auto"/>
        </w:rPr>
        <w:t xml:space="preserve"> RPZ jest szacunkiem i nie może być traktowany jako gwarancja ani wskazanie przyszłych wyników, zwrotu lub poziomów ryzyka.</w:t>
      </w:r>
      <w:r>
        <w:rPr xmlns:w="http://schemas.openxmlformats.org/wordprocessingml/2006/main">
          <w:rFonts w:ascii="Arial" w:cs="Arial" w:eastAsia="Arial" w:hAnsi="Arial"/>
          <w:sz w:val="16"/>
          <w:szCs w:val="16"/>
          <w:color w:val="auto"/>
        </w:rPr>
        <w:t xml:space="preserve"> Szczegółowe informacje o opłatach za wyjście można znaleźć w sekcji "Jakie są koszty?".</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mogę złożyć skargę?</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Jeśli nie jesteś w pełni zadowolony z jakiegokolwiek aspektu usługi, którą otrzymałeś i chcesz złożyć skargę, szczegóły naszego procesu rozpatrywania reklamacji są dostępne na stronie www.blackrock.com/uk/individual/about-blackrock/contact-us.</w:t>
      </w:r>
      <w:r>
        <w:rPr xmlns:w="http://schemas.openxmlformats.org/wordprocessingml/2006/main">
          <w:rFonts w:ascii="Arial" w:cs="Arial" w:eastAsia="Arial" w:hAnsi="Arial"/>
          <w:sz w:val="16"/>
          <w:szCs w:val="16"/>
          <w:color w:val="auto"/>
        </w:rPr>
        <w:t xml:space="preserve"> Dodatkowo możesz również napisać do zespołu Obsługi Inwestora, w siedzibie BlackRock w Wielkiej Brytanii, 12 Throgmorton Avenue, London, EC2N 2DL lub wysłać wiadomość e-mail na adres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Inne istotne informacje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Najnowsza wersja niniejszego dokumentu, 10-letni(-e) rok(y) przeszłych wyników Funduszu, poprzedni scenariusz wyników Funduszu, ostatni raport roczny i raport półroczny oraz wszelkie dodatkowe informacje wydawane akcjonariuszom można uzyskać bezpłatnie, w języku angielskim, pod adresem www.blackrock.com lub telefonicznie z Zespołem Obsługi Inwestora pod numerem +353 1 612 3394 lub od brokera, doradcy finansowego lub dystrybutora.</w:t>
      </w:r>
    </w:p>
    <w:p>
      <w:pPr>
        <w:spacing w:after="0" w:line="1"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Wskaźnik referencyjny (wskaźniki referencyjne), o których mowa w niniejszym dokumencie, stanowią własność intelektualną dostawcy(-ów) indeksu.</w:t>
      </w:r>
      <w:r>
        <w:rPr xmlns:w="http://schemas.openxmlformats.org/wordprocessingml/2006/main">
          <w:rFonts w:ascii="Arial" w:cs="Arial" w:eastAsia="Arial" w:hAnsi="Arial"/>
          <w:sz w:val="16"/>
          <w:szCs w:val="16"/>
          <w:color w:val="auto"/>
        </w:rPr>
        <w:t xml:space="preserve"> Produkt nie jest sponsorowany ani wspierany przez dostawcę(-ów) indeksu.</w:t>
      </w:r>
      <w:r>
        <w:rPr xmlns:w="http://schemas.openxmlformats.org/wordprocessingml/2006/main">
          <w:rFonts w:ascii="Arial" w:cs="Arial" w:eastAsia="Arial" w:hAnsi="Arial"/>
          <w:sz w:val="16"/>
          <w:szCs w:val="16"/>
          <w:color w:val="auto"/>
        </w:rPr>
        <w:t xml:space="preserve"> Pełne zastrzeżenie(-a) można znaleźć w prospekcie emisyjnym lub na stronie www.blackrock.com.</w:t>
      </w:r>
    </w:p>
    <w:p>
      <w:pPr xmlns:w="http://schemas.openxmlformats.org/wordprocessingml/2006/main">
        <w:jc w:val="both"/>
        <w:ind w:left="20" w:right="40"/>
        <w:spacing w:after="0" w:line="260" w:lineRule="auto"/>
        <w:rPr>
          <w:sz w:val="20"/>
          <w:szCs w:val="20"/>
          <w:color w:val="auto"/>
        </w:rPr>
      </w:pPr>
      <w:r>
        <w:rPr xmlns:w="http://schemas.openxmlformats.org/wordprocessingml/2006/main">
          <w:rFonts w:ascii="Arial" w:cs="Arial" w:eastAsia="Arial" w:hAnsi="Arial"/>
          <w:sz w:val="16"/>
          <w:szCs w:val="16"/>
          <w:color w:val="auto"/>
        </w:rPr>
        <w:t xml:space="preserve">Polityka wynagradzania Spółki, która opisuje sposób kształtowania i przyznawania wynagrodzeń i świadczeń oraz związane z tym zasady ładu korporacyjnego, dostępna jest na stronie www.blackrock.com/Remunerationpolicy lub na wniosek Zarządzającego.</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0EE72F2"/>
    <w:multiLevelType w:val="hybridMultilevel"/>
    <w:lvl w:ilvl="0">
      <w:lvlJc w:val="left"/>
      <w:lvlText w:val="*"/>
      <w:numFmt w:val="bullet"/>
      <w:start w:val="1"/>
    </w:lvl>
  </w:abstractNum>
  <w:abstractNum w:abstractNumId="1">
    <w:nsid w:val="2B19F921"/>
    <w:multiLevelType w:val="hybridMultilevel"/>
    <w:lvl w:ilvl="0">
      <w:lvlJc w:val="left"/>
      <w:lvlText w:val="**"/>
      <w:numFmt w:val="bullet"/>
      <w:start w:val="1"/>
    </w:lvl>
  </w:abstractNum>
  <w:abstractNum w:abstractNumId="2">
    <w:nsid w:val="2C2B3BDB"/>
    <w:multiLevelType w:val="hybridMultilevel"/>
    <w:lvl w:ilvl="0">
      <w:lvlJc w:val="left"/>
      <w:lvlText w:val="***"/>
      <w:numFmt w:val="bullet"/>
      <w:start w:val="1"/>
    </w:lvl>
  </w:abstractNum>
  <w:abstractNum w:abstractNumId="3">
    <w:nsid w:val="6138C2D5"/>
    <w:multiLevelType w:val="hybridMultilevel"/>
    <w:lvl w:ilvl="0">
      <w:lvlJc w:val="left"/>
      <w:lvlText w:val="****"/>
      <w:numFmt w:val="bullet"/>
      <w:start w:val="1"/>
    </w:lvl>
  </w:abstractNum>
  <w:abstractNum w:abstractNumId="4">
    <w:nsid w:val="36E42E87"/>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pn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jpeg"/><Relationship Id="rId34" Type="http://schemas.openxmlformats.org/officeDocument/2006/relationships/image" Target="media/image23.jpeg"/><Relationship Id="rId35" Type="http://schemas.openxmlformats.org/officeDocument/2006/relationships/image" Target="media/image24.jpeg"/><Relationship Id="rId36" Type="http://schemas.openxmlformats.org/officeDocument/2006/relationships/image" Target="media/image25.jpeg"/><Relationship Id="rId37" Type="http://schemas.openxmlformats.org/officeDocument/2006/relationships/image" Target="media/image26.jpe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2024-05-21T08:40:42Z</dcterms:created>
  <dcterms:modified xsi:type="dcterms:W3CDTF">2024-05-21T08:40:42Z</dcterms:modified>
</cp:coreProperties>
</file>