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51231" w14:textId="77777777" w:rsidR="00991C40" w:rsidRDefault="00C36143">
      <w:pPr>
        <w:spacing w:line="3" w:lineRule="exact"/>
        <w:rPr>
          <w:sz w:val="24"/>
          <w:szCs w:val="24"/>
        </w:rPr>
      </w:pPr>
      <w:bookmarkStart w:id="0" w:name="page1"/>
      <w:bookmarkEnd w:id="0"/>
      <w:r>
        <w:rPr>
          <w:noProof/>
          <w:sz w:val="24"/>
          <w:szCs w:val="24"/>
        </w:rPr>
        <w:drawing>
          <wp:anchor distT="0" distB="0" distL="114300" distR="114300" simplePos="0" relativeHeight="251650560" behindDoc="1" locked="0" layoutInCell="0" allowOverlap="1" wp14:anchorId="18C909CF" wp14:editId="07777777">
            <wp:simplePos x="0" y="0"/>
            <wp:positionH relativeFrom="page">
              <wp:posOffset>5084445</wp:posOffset>
            </wp:positionH>
            <wp:positionV relativeFrom="page">
              <wp:posOffset>472440</wp:posOffset>
            </wp:positionV>
            <wp:extent cx="2116455" cy="46736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2116455" cy="467360"/>
                    </a:xfrm>
                    <a:prstGeom prst="rect">
                      <a:avLst/>
                    </a:prstGeom>
                    <a:noFill/>
                  </pic:spPr>
                </pic:pic>
              </a:graphicData>
            </a:graphic>
          </wp:anchor>
        </w:drawing>
      </w:r>
    </w:p>
    <w:p w14:paraId="73D0B15B" w14:textId="77777777" w:rsidR="00991C40" w:rsidRDefault="00C36143">
      <w:pPr>
        <w:rPr>
          <w:sz w:val="20"/>
          <w:szCs w:val="20"/>
        </w:rPr>
      </w:pPr>
      <w:r>
        <w:rPr>
          <w:rFonts w:ascii="Arial" w:eastAsia="Arial" w:hAnsi="Arial" w:cs="Arial"/>
          <w:sz w:val="32"/>
          <w:szCs w:val="32"/>
        </w:rPr>
        <w:t>Información clave del inversor</w:t>
      </w:r>
    </w:p>
    <w:p w14:paraId="672A6659" w14:textId="77777777" w:rsidR="00991C40" w:rsidRDefault="00991C40">
      <w:pPr>
        <w:spacing w:line="275" w:lineRule="exact"/>
        <w:rPr>
          <w:sz w:val="24"/>
          <w:szCs w:val="24"/>
        </w:rPr>
      </w:pPr>
    </w:p>
    <w:p w14:paraId="542A474C" w14:textId="77777777" w:rsidR="00991C40" w:rsidRDefault="00C36143">
      <w:pPr>
        <w:spacing w:line="306" w:lineRule="auto"/>
        <w:ind w:right="40"/>
        <w:rPr>
          <w:sz w:val="20"/>
          <w:szCs w:val="20"/>
        </w:rPr>
      </w:pPr>
      <w:r>
        <w:rPr>
          <w:rFonts w:ascii="Arial" w:eastAsia="Arial" w:hAnsi="Arial" w:cs="Arial"/>
          <w:sz w:val="15"/>
          <w:szCs w:val="15"/>
        </w:rPr>
        <w:t>Este documento le proporciona información clave para el inversor sobre este fondo. No es material de marketing.</w:t>
      </w:r>
      <w:r>
        <w:rPr>
          <w:rFonts w:ascii="Arial" w:eastAsia="Arial" w:hAnsi="Arial" w:cs="Arial"/>
          <w:sz w:val="15"/>
          <w:szCs w:val="15"/>
        </w:rPr>
        <w:t xml:space="preserve"> La información es requerida por ley para ayudarle a entender la naturaleza y los riesgos de invertir en este fondo. Se le aconseja que lo lea para que pueda tomar una decisión informada sobre si invertir o no.</w:t>
      </w:r>
    </w:p>
    <w:p w14:paraId="03DB0583" w14:textId="77777777" w:rsidR="00991C40" w:rsidRDefault="00C36143">
      <w:pPr>
        <w:spacing w:line="20" w:lineRule="exact"/>
        <w:rPr>
          <w:sz w:val="24"/>
          <w:szCs w:val="24"/>
        </w:rPr>
      </w:pPr>
      <w:r>
        <w:rPr>
          <w:noProof/>
          <w:sz w:val="24"/>
          <w:szCs w:val="24"/>
        </w:rPr>
        <mc:AlternateContent>
          <mc:Choice Requires="wps">
            <w:drawing>
              <wp:anchor distT="0" distB="0" distL="114300" distR="114300" simplePos="0" relativeHeight="251651584" behindDoc="1" locked="0" layoutInCell="0" allowOverlap="1" wp14:anchorId="32B12FD0" wp14:editId="07777777">
                <wp:simplePos x="0" y="0"/>
                <wp:positionH relativeFrom="column">
                  <wp:posOffset>-126365</wp:posOffset>
                </wp:positionH>
                <wp:positionV relativeFrom="paragraph">
                  <wp:posOffset>64135</wp:posOffset>
                </wp:positionV>
                <wp:extent cx="7098665" cy="584200"/>
                <wp:effectExtent l="0" t="0" r="0" b="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98665" cy="584200"/>
                        </a:xfrm>
                        <a:prstGeom prst="rect">
                          <a:avLst/>
                        </a:prstGeom>
                        <a:solidFill>
                          <a:srgbClr val="E2E2E2"/>
                        </a:solidFill>
                      </wps:spPr>
                      <wps:bodyPr/>
                    </wps:wsp>
                  </a:graphicData>
                </a:graphic>
              </wp:anchor>
            </w:drawing>
          </mc:Choice>
          <mc:Fallback>
            <w:pict>
              <v:rect w14:anchorId="70AE71A3" id="Shape 2" o:spid="_x0000_s1026" style="position:absolute;margin-left:-9.95pt;margin-top:5.05pt;width:558.95pt;height:46pt;z-index:-251664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" o:allowincell="f" fillcolor="#e2e2e2" stroked="f"/>
            </w:pict>
          </mc:Fallback>
        </mc:AlternateContent>
      </w:r>
    </w:p>
    <w:p w14:paraId="0A37501D" w14:textId="77777777" w:rsidR="00991C40" w:rsidRDefault="00991C40">
      <w:pPr>
        <w:sectPr w:rsidR="00991C40">
          <w:pgSz w:w="11900" w:h="16843"/>
          <w:pgMar w:top="969" w:right="700" w:bottom="0" w:left="560" w:header="0" w:footer="0" w:gutter="0"/>
          <w:cols w:space="720" w:equalWidth="0">
            <w:col w:w="10640"/>
          </w:cols>
        </w:sectPr>
      </w:pPr>
    </w:p>
    <w:p w14:paraId="5DAB6C7B" w14:textId="77777777" w:rsidR="00991C40" w:rsidRDefault="00991C40">
      <w:pPr>
        <w:spacing w:line="150" w:lineRule="exact"/>
        <w:rPr>
          <w:sz w:val="24"/>
          <w:szCs w:val="24"/>
        </w:rPr>
      </w:pPr>
    </w:p>
    <w:p w14:paraId="4A2C1BE2" w14:textId="77777777" w:rsidR="00991C40" w:rsidRDefault="00C36143">
      <w:pPr>
        <w:spacing w:line="252" w:lineRule="auto"/>
        <w:ind w:right="520"/>
        <w:rPr>
          <w:sz w:val="20"/>
          <w:szCs w:val="20"/>
        </w:rPr>
      </w:pPr>
      <w:r>
        <w:rPr>
          <w:rFonts w:ascii="Arial" w:eastAsia="Arial" w:hAnsi="Arial" w:cs="Arial"/>
          <w:b/>
          <w:bCs/>
          <w:color w:val="231F20"/>
          <w:sz w:val="24"/>
          <w:szCs w:val="24"/>
        </w:rPr>
        <w:t>Vanguard FTSE All-Wo</w:t>
      </w:r>
      <w:r>
        <w:rPr>
          <w:rFonts w:ascii="Arial" w:eastAsia="Arial" w:hAnsi="Arial" w:cs="Arial"/>
          <w:b/>
          <w:bCs/>
          <w:color w:val="231F20"/>
          <w:sz w:val="24"/>
          <w:szCs w:val="24"/>
        </w:rPr>
        <w:t>rld UCITS ETF (el "Fondo")</w:t>
      </w:r>
    </w:p>
    <w:p w14:paraId="02EB378F" w14:textId="77777777" w:rsidR="00991C40" w:rsidRDefault="00991C40">
      <w:pPr>
        <w:spacing w:line="1" w:lineRule="exact"/>
        <w:rPr>
          <w:sz w:val="24"/>
          <w:szCs w:val="24"/>
        </w:rPr>
      </w:pPr>
    </w:p>
    <w:p w14:paraId="1BB5A0FF" w14:textId="77777777" w:rsidR="00991C40" w:rsidRDefault="00C36143">
      <w:pPr>
        <w:rPr>
          <w:sz w:val="20"/>
          <w:szCs w:val="20"/>
        </w:rPr>
      </w:pPr>
      <w:r>
        <w:rPr>
          <w:rFonts w:ascii="Arial" w:eastAsia="Arial" w:hAnsi="Arial" w:cs="Arial"/>
          <w:color w:val="231F20"/>
          <w:sz w:val="18"/>
          <w:szCs w:val="18"/>
        </w:rPr>
        <w:t>Un subfondo de Vanguard Funds PLC</w:t>
      </w:r>
    </w:p>
    <w:p w14:paraId="6A05A809" w14:textId="77777777" w:rsidR="00991C40" w:rsidRDefault="00C36143">
      <w:pPr>
        <w:spacing w:line="20" w:lineRule="exact"/>
        <w:rPr>
          <w:sz w:val="24"/>
          <w:szCs w:val="24"/>
        </w:rPr>
      </w:pPr>
      <w:r>
        <w:rPr>
          <w:sz w:val="24"/>
          <w:szCs w:val="24"/>
        </w:rPr>
        <w:br w:type="column"/>
      </w:r>
    </w:p>
    <w:p w14:paraId="5A39BBE3" w14:textId="77777777" w:rsidR="00991C40" w:rsidRDefault="00991C40">
      <w:pPr>
        <w:spacing w:line="134" w:lineRule="exact"/>
        <w:rPr>
          <w:sz w:val="24"/>
          <w:szCs w:val="24"/>
        </w:rPr>
      </w:pPr>
    </w:p>
    <w:p w14:paraId="21E3A573" w14:textId="77777777" w:rsidR="00991C40" w:rsidRDefault="00C36143">
      <w:pPr>
        <w:rPr>
          <w:sz w:val="20"/>
          <w:szCs w:val="20"/>
        </w:rPr>
      </w:pPr>
      <w:r>
        <w:rPr>
          <w:rFonts w:ascii="Arial" w:eastAsia="Arial" w:hAnsi="Arial" w:cs="Arial"/>
          <w:b/>
          <w:bCs/>
          <w:color w:val="231F20"/>
          <w:sz w:val="18"/>
          <w:szCs w:val="18"/>
        </w:rPr>
        <w:t>(USD) Acumulación</w:t>
      </w:r>
    </w:p>
    <w:p w14:paraId="41C8F396" w14:textId="77777777" w:rsidR="00991C40" w:rsidRDefault="00991C40">
      <w:pPr>
        <w:spacing w:line="46" w:lineRule="exact"/>
        <w:rPr>
          <w:sz w:val="24"/>
          <w:szCs w:val="24"/>
        </w:rPr>
      </w:pPr>
    </w:p>
    <w:p w14:paraId="3D981DB6" w14:textId="77777777" w:rsidR="00991C40" w:rsidRDefault="00C36143">
      <w:pPr>
        <w:rPr>
          <w:sz w:val="20"/>
          <w:szCs w:val="20"/>
        </w:rPr>
      </w:pPr>
      <w:r>
        <w:rPr>
          <w:rFonts w:ascii="Arial" w:eastAsia="Arial" w:hAnsi="Arial" w:cs="Arial"/>
          <w:b/>
          <w:bCs/>
          <w:color w:val="231F20"/>
          <w:sz w:val="18"/>
          <w:szCs w:val="18"/>
        </w:rPr>
        <w:t>ISIN: IE00BK5BQT80</w:t>
      </w:r>
    </w:p>
    <w:p w14:paraId="72A3D3EC" w14:textId="77777777" w:rsidR="00991C40" w:rsidRDefault="00991C40">
      <w:pPr>
        <w:spacing w:line="13" w:lineRule="exact"/>
        <w:rPr>
          <w:sz w:val="24"/>
          <w:szCs w:val="24"/>
        </w:rPr>
      </w:pPr>
    </w:p>
    <w:p w14:paraId="3F00A212" w14:textId="77777777" w:rsidR="00991C40" w:rsidRDefault="00C36143">
      <w:pPr>
        <w:rPr>
          <w:sz w:val="20"/>
          <w:szCs w:val="20"/>
        </w:rPr>
      </w:pPr>
      <w:r>
        <w:rPr>
          <w:rFonts w:ascii="Arial" w:eastAsia="Arial" w:hAnsi="Arial" w:cs="Arial"/>
          <w:color w:val="231F20"/>
          <w:sz w:val="15"/>
          <w:szCs w:val="15"/>
        </w:rPr>
        <w:t>Responsable: Vanguard Group (Ireland) Limited (“VGIL”)</w:t>
      </w:r>
    </w:p>
    <w:p w14:paraId="359962FE" w14:textId="77777777" w:rsidR="00991C40" w:rsidRDefault="00C36143">
      <w:pPr>
        <w:spacing w:line="20" w:lineRule="exact"/>
        <w:rPr>
          <w:sz w:val="24"/>
          <w:szCs w:val="24"/>
        </w:rPr>
      </w:pPr>
      <w:r>
        <w:rPr>
          <w:noProof/>
          <w:sz w:val="24"/>
          <w:szCs w:val="24"/>
        </w:rPr>
        <mc:AlternateContent>
          <mc:Choice Requires="wps">
            <w:drawing>
              <wp:anchor distT="0" distB="0" distL="114300" distR="114300" simplePos="0" relativeHeight="251652608" behindDoc="1" locked="0" layoutInCell="0" allowOverlap="1" wp14:anchorId="493DFDEF" wp14:editId="07777777">
                <wp:simplePos x="0" y="0"/>
                <wp:positionH relativeFrom="column">
                  <wp:posOffset>-3454400</wp:posOffset>
                </wp:positionH>
                <wp:positionV relativeFrom="paragraph">
                  <wp:posOffset>267335</wp:posOffset>
                </wp:positionV>
                <wp:extent cx="6845300" cy="0"/>
                <wp:effectExtent l="0" t="0" r="0" b="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w14:anchorId="5EAA0F9A" id="Shape 3" o:spid="_x0000_s1026" style="position:absolute;z-index:-251663872;visibility:visible;mso-wrap-style:square;mso-wrap-distance-left:9pt;mso-wrap-distance-top:0;mso-wrap-distance-right:9pt;mso-wrap-distance-bottom:0;mso-position-horizontal:absolute;mso-position-horizontal-relative:text;mso-position-vertical:absolute;mso-position-vertical-relative:text" from="-272pt,21.05pt" to="267pt,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" o:allowincell="f" filled="t" strokecolor="#231f20" strokeweight=".4pt">
                <v:stroke joinstyle="miter"/>
                <o:lock v:ext="edit" shapetype="f"/>
              </v:line>
            </w:pict>
          </mc:Fallback>
        </mc:AlternateContent>
      </w:r>
    </w:p>
    <w:p w14:paraId="0D0B940D" w14:textId="77777777" w:rsidR="00991C40" w:rsidRDefault="00991C40">
      <w:pPr>
        <w:spacing w:line="338" w:lineRule="exact"/>
        <w:rPr>
          <w:sz w:val="24"/>
          <w:szCs w:val="24"/>
        </w:rPr>
      </w:pPr>
    </w:p>
    <w:p w14:paraId="0E27B00A" w14:textId="77777777" w:rsidR="00991C40" w:rsidRDefault="00991C40">
      <w:pPr>
        <w:sectPr w:rsidR="00991C40">
          <w:type w:val="continuous"/>
          <w:pgSz w:w="11900" w:h="16843"/>
          <w:pgMar w:top="969" w:right="700" w:bottom="0" w:left="560" w:header="0" w:footer="0" w:gutter="0"/>
          <w:cols w:num="2" w:space="720" w:equalWidth="0">
            <w:col w:w="4720" w:space="720"/>
            <w:col w:w="5200"/>
          </w:cols>
        </w:sectPr>
      </w:pPr>
    </w:p>
    <w:p w14:paraId="60061E4C" w14:textId="77777777" w:rsidR="00991C40" w:rsidRDefault="00991C40">
      <w:pPr>
        <w:spacing w:line="160" w:lineRule="exact"/>
        <w:rPr>
          <w:sz w:val="24"/>
          <w:szCs w:val="24"/>
        </w:rPr>
      </w:pPr>
    </w:p>
    <w:p w14:paraId="3091897A" w14:textId="77777777" w:rsidR="00991C40" w:rsidRDefault="00C36143">
      <w:pPr>
        <w:rPr>
          <w:sz w:val="20"/>
          <w:szCs w:val="20"/>
        </w:rPr>
      </w:pPr>
      <w:r>
        <w:rPr>
          <w:rFonts w:ascii="Arial" w:eastAsia="Arial" w:hAnsi="Arial" w:cs="Arial"/>
          <w:color w:val="231F20"/>
          <w:sz w:val="24"/>
          <w:szCs w:val="24"/>
        </w:rPr>
        <w:t>Objetivos y política de inversión</w:t>
      </w:r>
    </w:p>
    <w:p w14:paraId="44EAFD9C" w14:textId="77777777" w:rsidR="00991C40" w:rsidRDefault="00991C40">
      <w:pPr>
        <w:spacing w:line="138" w:lineRule="exact"/>
        <w:rPr>
          <w:sz w:val="24"/>
          <w:szCs w:val="24"/>
        </w:rPr>
      </w:pPr>
    </w:p>
    <w:p w14:paraId="01B5AFAB" w14:textId="77777777" w:rsidR="00991C40" w:rsidRDefault="00C36143">
      <w:pPr>
        <w:spacing w:line="232" w:lineRule="auto"/>
        <w:ind w:left="140" w:hanging="139"/>
        <w:jc w:val="both"/>
        <w:rPr>
          <w:sz w:val="20"/>
          <w:szCs w:val="20"/>
        </w:rPr>
      </w:pPr>
      <w:r>
        <w:rPr>
          <w:rFonts w:ascii="Arial" w:eastAsia="Arial" w:hAnsi="Arial" w:cs="Arial"/>
          <w:color w:val="231F20"/>
          <w:sz w:val="16"/>
          <w:szCs w:val="16"/>
        </w:rPr>
        <w:t>2 La Caja emplea un enfoque de gestión pasiva -o indexación- de las inversiones, mediante la adquisición física de valores, y trata de seguir el rendimiento del índice FTSE All-World (el “índice”).</w:t>
      </w:r>
    </w:p>
    <w:p w14:paraId="4B94D5A5" w14:textId="77777777" w:rsidR="00991C40" w:rsidRDefault="00991C40">
      <w:pPr>
        <w:spacing w:line="1" w:lineRule="exact"/>
        <w:rPr>
          <w:sz w:val="24"/>
          <w:szCs w:val="24"/>
        </w:rPr>
      </w:pPr>
    </w:p>
    <w:p w14:paraId="12F9F68A" w14:textId="77777777" w:rsidR="00991C40" w:rsidRDefault="00C36143">
      <w:pPr>
        <w:spacing w:line="234" w:lineRule="auto"/>
        <w:ind w:left="140" w:hanging="139"/>
        <w:jc w:val="both"/>
        <w:rPr>
          <w:sz w:val="20"/>
          <w:szCs w:val="20"/>
        </w:rPr>
      </w:pPr>
      <w:r>
        <w:rPr>
          <w:rFonts w:ascii="Arial" w:eastAsia="Arial" w:hAnsi="Arial" w:cs="Arial"/>
          <w:color w:val="231F20"/>
          <w:sz w:val="16"/>
          <w:szCs w:val="16"/>
        </w:rPr>
        <w:t>2 El Índice está compuesto por acciones de empresas grand</w:t>
      </w:r>
      <w:r>
        <w:rPr>
          <w:rFonts w:ascii="Arial" w:eastAsia="Arial" w:hAnsi="Arial" w:cs="Arial"/>
          <w:color w:val="231F20"/>
          <w:sz w:val="16"/>
          <w:szCs w:val="16"/>
        </w:rPr>
        <w:t>es y medianas en mercados desarrollados y emergentes.</w:t>
      </w:r>
    </w:p>
    <w:p w14:paraId="3DEEC669" w14:textId="77777777" w:rsidR="00991C40" w:rsidRDefault="00991C40">
      <w:pPr>
        <w:spacing w:line="1" w:lineRule="exact"/>
        <w:rPr>
          <w:sz w:val="24"/>
          <w:szCs w:val="24"/>
        </w:rPr>
      </w:pPr>
    </w:p>
    <w:p w14:paraId="26E9DB37" w14:textId="77777777" w:rsidR="00991C40" w:rsidRDefault="00C36143">
      <w:pPr>
        <w:numPr>
          <w:ilvl w:val="0"/>
          <w:numId w:val="1"/>
        </w:numPr>
        <w:tabs>
          <w:tab w:val="left" w:pos="140"/>
        </w:tabs>
        <w:ind w:left="140" w:hanging="140"/>
        <w:rPr>
          <w:rFonts w:ascii="Arial" w:eastAsia="Arial" w:hAnsi="Arial" w:cs="Arial"/>
          <w:color w:val="231F20"/>
          <w:sz w:val="16"/>
          <w:szCs w:val="16"/>
        </w:rPr>
      </w:pPr>
      <w:r>
        <w:rPr>
          <w:rFonts w:ascii="Arial" w:eastAsia="Arial" w:hAnsi="Arial" w:cs="Arial"/>
          <w:color w:val="231F20"/>
          <w:sz w:val="16"/>
          <w:szCs w:val="16"/>
        </w:rPr>
        <w:t>El Fondo trata de:</w:t>
      </w:r>
    </w:p>
    <w:p w14:paraId="3656B9AB" w14:textId="77777777" w:rsidR="00991C40" w:rsidRDefault="00991C40">
      <w:pPr>
        <w:spacing w:line="9" w:lineRule="exact"/>
        <w:rPr>
          <w:rFonts w:ascii="Arial" w:eastAsia="Arial" w:hAnsi="Arial" w:cs="Arial"/>
          <w:color w:val="231F20"/>
          <w:sz w:val="16"/>
          <w:szCs w:val="16"/>
        </w:rPr>
      </w:pPr>
    </w:p>
    <w:p w14:paraId="507C4D18" w14:textId="77777777" w:rsidR="00991C40" w:rsidRDefault="00C36143">
      <w:pPr>
        <w:numPr>
          <w:ilvl w:val="1"/>
          <w:numId w:val="1"/>
        </w:numPr>
        <w:tabs>
          <w:tab w:val="left" w:pos="329"/>
        </w:tabs>
        <w:spacing w:line="208" w:lineRule="auto"/>
        <w:ind w:left="140"/>
        <w:rPr>
          <w:rFonts w:ascii="Arial" w:eastAsia="Arial" w:hAnsi="Arial" w:cs="Arial"/>
          <w:color w:val="231F20"/>
          <w:sz w:val="16"/>
          <w:szCs w:val="16"/>
        </w:rPr>
      </w:pPr>
      <w:r>
        <w:rPr>
          <w:rFonts w:ascii="Arial" w:eastAsia="Arial" w:hAnsi="Arial" w:cs="Arial"/>
          <w:color w:val="231F20"/>
          <w:sz w:val="16"/>
          <w:szCs w:val="16"/>
        </w:rPr>
        <w:t>Realizar un seguimiento del rendimiento del índice invirtiendo en una muestra representativa de valores constitutivos del índice.</w:t>
      </w:r>
    </w:p>
    <w:p w14:paraId="45FB0818" w14:textId="77777777" w:rsidR="00991C40" w:rsidRDefault="00991C40">
      <w:pPr>
        <w:spacing w:line="1" w:lineRule="exact"/>
        <w:rPr>
          <w:rFonts w:ascii="Arial" w:eastAsia="Arial" w:hAnsi="Arial" w:cs="Arial"/>
          <w:color w:val="231F20"/>
          <w:sz w:val="16"/>
          <w:szCs w:val="16"/>
        </w:rPr>
      </w:pPr>
    </w:p>
    <w:p w14:paraId="5FF5C14C" w14:textId="77777777" w:rsidR="00991C40" w:rsidRDefault="00C36143">
      <w:pPr>
        <w:numPr>
          <w:ilvl w:val="1"/>
          <w:numId w:val="1"/>
        </w:numPr>
        <w:tabs>
          <w:tab w:val="left" w:pos="303"/>
        </w:tabs>
        <w:spacing w:line="211" w:lineRule="auto"/>
        <w:ind w:left="140"/>
        <w:jc w:val="both"/>
        <w:rPr>
          <w:rFonts w:ascii="Arial" w:eastAsia="Arial" w:hAnsi="Arial" w:cs="Arial"/>
          <w:color w:val="231F20"/>
          <w:sz w:val="16"/>
          <w:szCs w:val="16"/>
        </w:rPr>
      </w:pPr>
      <w:r>
        <w:rPr>
          <w:rFonts w:ascii="Arial" w:eastAsia="Arial" w:hAnsi="Arial" w:cs="Arial"/>
          <w:color w:val="231F20"/>
          <w:sz w:val="16"/>
          <w:szCs w:val="16"/>
        </w:rPr>
        <w:t>Seguir invirtiendo plenamente, salvo en condicione</w:t>
      </w:r>
      <w:r>
        <w:rPr>
          <w:rFonts w:ascii="Arial" w:eastAsia="Arial" w:hAnsi="Arial" w:cs="Arial"/>
          <w:color w:val="231F20"/>
          <w:sz w:val="16"/>
          <w:szCs w:val="16"/>
        </w:rPr>
        <w:t>s extraordinarias de mercado, políticas o similares, en las que el Fondo pueda apartarse temporalmente de su política de inversión para evitar pérdidas.</w:t>
      </w:r>
    </w:p>
    <w:p w14:paraId="049F31CB" w14:textId="77777777" w:rsidR="00991C40" w:rsidRDefault="00991C40">
      <w:pPr>
        <w:spacing w:line="1" w:lineRule="exact"/>
        <w:rPr>
          <w:sz w:val="24"/>
          <w:szCs w:val="24"/>
        </w:rPr>
      </w:pPr>
    </w:p>
    <w:p w14:paraId="367DD41C" w14:textId="77777777" w:rsidR="00991C40" w:rsidRDefault="00C36143">
      <w:pPr>
        <w:spacing w:line="221" w:lineRule="auto"/>
        <w:ind w:left="140" w:hanging="139"/>
        <w:jc w:val="both"/>
        <w:rPr>
          <w:sz w:val="20"/>
          <w:szCs w:val="20"/>
        </w:rPr>
      </w:pPr>
      <w:r>
        <w:rPr>
          <w:rFonts w:ascii="Arial" w:eastAsia="Arial" w:hAnsi="Arial" w:cs="Arial"/>
          <w:color w:val="231F20"/>
          <w:sz w:val="16"/>
          <w:szCs w:val="16"/>
        </w:rPr>
        <w:t>2 El Fondo puede utilizar derivados para reducir el riesgo o el coste y/o generar ingresos o crecimien</w:t>
      </w:r>
      <w:r>
        <w:rPr>
          <w:rFonts w:ascii="Arial" w:eastAsia="Arial" w:hAnsi="Arial" w:cs="Arial"/>
          <w:color w:val="231F20"/>
          <w:sz w:val="16"/>
          <w:szCs w:val="16"/>
        </w:rPr>
        <w:t>to adicionales. Un derivado es un contrato financiero cuyo valor se basa en el valor de un activo financiero (como una acción, un bono o una moneda) o un índice de mercado.</w:t>
      </w:r>
    </w:p>
    <w:p w14:paraId="53128261" w14:textId="77777777" w:rsidR="00991C40" w:rsidRDefault="00991C40">
      <w:pPr>
        <w:spacing w:line="2" w:lineRule="exact"/>
        <w:rPr>
          <w:sz w:val="24"/>
          <w:szCs w:val="24"/>
        </w:rPr>
      </w:pPr>
    </w:p>
    <w:p w14:paraId="60322386" w14:textId="77777777" w:rsidR="00991C40" w:rsidRDefault="00C36143">
      <w:pPr>
        <w:numPr>
          <w:ilvl w:val="0"/>
          <w:numId w:val="2"/>
        </w:numPr>
        <w:tabs>
          <w:tab w:val="left" w:pos="140"/>
        </w:tabs>
        <w:ind w:left="140" w:hanging="140"/>
        <w:rPr>
          <w:rFonts w:ascii="Arial" w:eastAsia="Arial" w:hAnsi="Arial" w:cs="Arial"/>
          <w:color w:val="231F20"/>
          <w:sz w:val="16"/>
          <w:szCs w:val="16"/>
        </w:rPr>
      </w:pPr>
      <w:r>
        <w:rPr>
          <w:rFonts w:ascii="Arial" w:eastAsia="Arial" w:hAnsi="Arial" w:cs="Arial"/>
          <w:color w:val="231F20"/>
          <w:sz w:val="16"/>
          <w:szCs w:val="16"/>
        </w:rPr>
        <w:t>La moneda de base del Fondo es el dólar de los EE.UU.</w:t>
      </w:r>
    </w:p>
    <w:p w14:paraId="62486C05" w14:textId="77777777" w:rsidR="00991C40" w:rsidRDefault="00991C40">
      <w:pPr>
        <w:spacing w:line="16" w:lineRule="exact"/>
        <w:rPr>
          <w:sz w:val="24"/>
          <w:szCs w:val="24"/>
        </w:rPr>
      </w:pPr>
    </w:p>
    <w:p w14:paraId="38D816B0" w14:textId="77777777" w:rsidR="00991C40" w:rsidRDefault="00C36143">
      <w:pPr>
        <w:numPr>
          <w:ilvl w:val="0"/>
          <w:numId w:val="3"/>
        </w:numPr>
        <w:tabs>
          <w:tab w:val="left" w:pos="140"/>
        </w:tabs>
        <w:spacing w:line="226" w:lineRule="auto"/>
        <w:ind w:left="140" w:hanging="140"/>
        <w:jc w:val="both"/>
        <w:rPr>
          <w:rFonts w:ascii="Arial" w:eastAsia="Arial" w:hAnsi="Arial" w:cs="Arial"/>
          <w:color w:val="231F20"/>
          <w:sz w:val="16"/>
          <w:szCs w:val="16"/>
        </w:rPr>
      </w:pPr>
      <w:r>
        <w:rPr>
          <w:rFonts w:ascii="Arial" w:eastAsia="Arial" w:hAnsi="Arial" w:cs="Arial"/>
          <w:color w:val="231F20"/>
          <w:sz w:val="16"/>
          <w:szCs w:val="16"/>
        </w:rPr>
        <w:t>El Fondo podrá conceder préstamos garantizados a corto plazo de sus inversiones a determinados terceros elegibles. Esto se utiliza como medio de generar ingresos adicionales y compensar los costos de l</w:t>
      </w:r>
      <w:r>
        <w:rPr>
          <w:rFonts w:ascii="Arial" w:eastAsia="Arial" w:hAnsi="Arial" w:cs="Arial"/>
          <w:color w:val="231F20"/>
          <w:sz w:val="16"/>
          <w:szCs w:val="16"/>
        </w:rPr>
        <w:t>a Caja.</w:t>
      </w:r>
    </w:p>
    <w:p w14:paraId="4101652C" w14:textId="77777777" w:rsidR="00991C40" w:rsidRDefault="00991C40">
      <w:pPr>
        <w:spacing w:line="2" w:lineRule="exact"/>
        <w:rPr>
          <w:sz w:val="24"/>
          <w:szCs w:val="24"/>
        </w:rPr>
      </w:pPr>
    </w:p>
    <w:p w14:paraId="5C4D4219" w14:textId="77777777" w:rsidR="00991C40" w:rsidRDefault="00C36143">
      <w:pPr>
        <w:numPr>
          <w:ilvl w:val="0"/>
          <w:numId w:val="4"/>
        </w:numPr>
        <w:tabs>
          <w:tab w:val="left" w:pos="140"/>
        </w:tabs>
        <w:ind w:left="140" w:hanging="140"/>
        <w:rPr>
          <w:rFonts w:ascii="Arial" w:eastAsia="Arial" w:hAnsi="Arial" w:cs="Arial"/>
          <w:color w:val="231F20"/>
          <w:sz w:val="16"/>
          <w:szCs w:val="16"/>
        </w:rPr>
      </w:pPr>
      <w:r>
        <w:rPr>
          <w:rFonts w:ascii="Arial" w:eastAsia="Arial" w:hAnsi="Arial" w:cs="Arial"/>
          <w:color w:val="231F20"/>
          <w:sz w:val="16"/>
          <w:szCs w:val="16"/>
        </w:rPr>
        <w:t>El Fondo puede no ser adecuado para inversiones a corto plazo.</w:t>
      </w:r>
    </w:p>
    <w:p w14:paraId="4B99056E" w14:textId="77777777" w:rsidR="00991C40" w:rsidRDefault="00991C40">
      <w:pPr>
        <w:spacing w:line="16" w:lineRule="exact"/>
        <w:rPr>
          <w:sz w:val="24"/>
          <w:szCs w:val="24"/>
        </w:rPr>
      </w:pPr>
    </w:p>
    <w:p w14:paraId="1F02256E" w14:textId="77777777" w:rsidR="00991C40" w:rsidRDefault="00C36143">
      <w:pPr>
        <w:numPr>
          <w:ilvl w:val="0"/>
          <w:numId w:val="5"/>
        </w:numPr>
        <w:tabs>
          <w:tab w:val="left" w:pos="140"/>
        </w:tabs>
        <w:spacing w:line="226" w:lineRule="auto"/>
        <w:ind w:left="140" w:hanging="140"/>
        <w:jc w:val="both"/>
        <w:rPr>
          <w:rFonts w:ascii="Arial" w:eastAsia="Arial" w:hAnsi="Arial" w:cs="Arial"/>
          <w:color w:val="231F20"/>
          <w:sz w:val="16"/>
          <w:szCs w:val="16"/>
        </w:rPr>
      </w:pPr>
      <w:r>
        <w:rPr>
          <w:rFonts w:ascii="Arial" w:eastAsia="Arial" w:hAnsi="Arial" w:cs="Arial"/>
          <w:color w:val="231F20"/>
          <w:sz w:val="16"/>
          <w:szCs w:val="16"/>
        </w:rPr>
        <w:t>Esta clase de acciones es una clase de acciones acumulativa y los administradores no tienen la intención de declarar un dividendo. Los ingresos se reinvertirán y se reflejarán en el p</w:t>
      </w:r>
      <w:r>
        <w:rPr>
          <w:rFonts w:ascii="Arial" w:eastAsia="Arial" w:hAnsi="Arial" w:cs="Arial"/>
          <w:color w:val="231F20"/>
          <w:sz w:val="16"/>
          <w:szCs w:val="16"/>
        </w:rPr>
        <w:t>recio de las acciones de la Caja.</w:t>
      </w:r>
    </w:p>
    <w:p w14:paraId="05CEAF32" w14:textId="77777777" w:rsidR="00991C40" w:rsidRDefault="00C36143">
      <w:pPr>
        <w:spacing w:line="219" w:lineRule="auto"/>
        <w:ind w:left="140" w:hanging="139"/>
        <w:jc w:val="both"/>
        <w:rPr>
          <w:sz w:val="20"/>
          <w:szCs w:val="20"/>
        </w:rPr>
      </w:pPr>
      <w:r>
        <w:rPr>
          <w:rFonts w:ascii="Arial" w:eastAsia="Arial" w:hAnsi="Arial" w:cs="Arial"/>
          <w:color w:val="231F20"/>
          <w:sz w:val="16"/>
          <w:szCs w:val="16"/>
        </w:rPr>
        <w:t xml:space="preserve">2 Las acciones de ETF se cotizan en una o más bolsas de valores. Sin perjuicio de determinadas excepciones establecidas en el folleto, los inversores que no sean participantes autorizados solo podrán vender acciones ETF a </w:t>
      </w:r>
      <w:r>
        <w:rPr>
          <w:rFonts w:ascii="Arial" w:eastAsia="Arial" w:hAnsi="Arial" w:cs="Arial"/>
          <w:color w:val="231F20"/>
          <w:sz w:val="16"/>
          <w:szCs w:val="16"/>
        </w:rPr>
        <w:t>través de una empresa que sea miembro de una bolsa de valores pertinente en cualquier momento en que dicha bolsa esté abierta a la actividad.</w:t>
      </w:r>
    </w:p>
    <w:p w14:paraId="1299C43A" w14:textId="77777777" w:rsidR="00991C40" w:rsidRDefault="00991C40">
      <w:pPr>
        <w:spacing w:line="1" w:lineRule="exact"/>
        <w:rPr>
          <w:sz w:val="24"/>
          <w:szCs w:val="24"/>
        </w:rPr>
      </w:pPr>
    </w:p>
    <w:p w14:paraId="58553377" w14:textId="77777777" w:rsidR="00991C40" w:rsidRDefault="00C36143">
      <w:pPr>
        <w:numPr>
          <w:ilvl w:val="0"/>
          <w:numId w:val="6"/>
        </w:numPr>
        <w:tabs>
          <w:tab w:val="left" w:pos="140"/>
        </w:tabs>
        <w:ind w:left="140" w:hanging="140"/>
        <w:rPr>
          <w:rFonts w:ascii="Arial" w:eastAsia="Arial" w:hAnsi="Arial" w:cs="Arial"/>
          <w:color w:val="231F20"/>
          <w:sz w:val="16"/>
          <w:szCs w:val="16"/>
        </w:rPr>
      </w:pPr>
      <w:r>
        <w:rPr>
          <w:rFonts w:ascii="Arial" w:eastAsia="Arial" w:hAnsi="Arial" w:cs="Arial"/>
          <w:color w:val="231F20"/>
          <w:sz w:val="16"/>
          <w:szCs w:val="16"/>
        </w:rPr>
        <w:t>Los costes de transacción de la cartera tendrán un impacto en el rendimiento.</w:t>
      </w:r>
    </w:p>
    <w:p w14:paraId="4DDBEF00" w14:textId="77777777" w:rsidR="00991C40" w:rsidRDefault="00C36143">
      <w:pPr>
        <w:spacing w:line="20" w:lineRule="exact"/>
        <w:rPr>
          <w:sz w:val="24"/>
          <w:szCs w:val="24"/>
        </w:rPr>
      </w:pPr>
      <w:r>
        <w:rPr>
          <w:sz w:val="24"/>
          <w:szCs w:val="24"/>
        </w:rPr>
        <w:br w:type="column"/>
      </w:r>
    </w:p>
    <w:p w14:paraId="3461D779" w14:textId="77777777" w:rsidR="00991C40" w:rsidRDefault="00991C40">
      <w:pPr>
        <w:spacing w:line="200" w:lineRule="exact"/>
        <w:rPr>
          <w:sz w:val="24"/>
          <w:szCs w:val="24"/>
        </w:rPr>
      </w:pPr>
    </w:p>
    <w:p w14:paraId="3CF2D8B6" w14:textId="77777777" w:rsidR="00991C40" w:rsidRDefault="00991C40">
      <w:pPr>
        <w:spacing w:line="355" w:lineRule="exact"/>
        <w:rPr>
          <w:sz w:val="24"/>
          <w:szCs w:val="24"/>
        </w:rPr>
      </w:pPr>
    </w:p>
    <w:p w14:paraId="7FF30B04" w14:textId="77777777" w:rsidR="00991C40" w:rsidRDefault="00C36143">
      <w:pPr>
        <w:numPr>
          <w:ilvl w:val="0"/>
          <w:numId w:val="7"/>
        </w:numPr>
        <w:tabs>
          <w:tab w:val="left" w:pos="140"/>
        </w:tabs>
        <w:spacing w:line="255" w:lineRule="auto"/>
        <w:ind w:left="140" w:hanging="140"/>
        <w:rPr>
          <w:rFonts w:ascii="Arial" w:eastAsia="Arial" w:hAnsi="Arial" w:cs="Arial"/>
          <w:color w:val="231F20"/>
          <w:sz w:val="14"/>
          <w:szCs w:val="14"/>
        </w:rPr>
      </w:pPr>
      <w:r>
        <w:rPr>
          <w:rFonts w:ascii="Arial" w:eastAsia="Arial" w:hAnsi="Arial" w:cs="Arial"/>
          <w:color w:val="231F20"/>
          <w:sz w:val="14"/>
          <w:szCs w:val="14"/>
        </w:rPr>
        <w:t>Las acciones del Fondo pueden comprarse o venderse diariamente (salvo en determinados días festivos o festivos y con sujeción a ciertas restricciones descritas en el Suplemento) presentando una solicitud por escrito o por teléfono. En https://global.vangua</w:t>
      </w:r>
      <w:r>
        <w:rPr>
          <w:rFonts w:ascii="Arial" w:eastAsia="Arial" w:hAnsi="Arial" w:cs="Arial"/>
          <w:color w:val="231F20"/>
          <w:sz w:val="14"/>
          <w:szCs w:val="14"/>
        </w:rPr>
        <w:t>rd.com/portal/site/loadPDF?country=global&amp;docId=11628 figura una lista de los días en que no se pueden comprar o vender acciones del Fondo</w:t>
      </w:r>
    </w:p>
    <w:p w14:paraId="0FB78278" w14:textId="77777777" w:rsidR="00991C40" w:rsidRDefault="00991C40">
      <w:pPr>
        <w:spacing w:line="159" w:lineRule="exact"/>
        <w:rPr>
          <w:sz w:val="24"/>
          <w:szCs w:val="24"/>
        </w:rPr>
      </w:pPr>
    </w:p>
    <w:p w14:paraId="15FFC79A" w14:textId="77777777" w:rsidR="00991C40" w:rsidRDefault="00C36143">
      <w:pPr>
        <w:jc w:val="both"/>
        <w:rPr>
          <w:sz w:val="20"/>
          <w:szCs w:val="20"/>
        </w:rPr>
      </w:pPr>
      <w:r>
        <w:rPr>
          <w:rFonts w:ascii="Arial" w:eastAsia="Arial" w:hAnsi="Arial" w:cs="Arial"/>
          <w:b/>
          <w:bCs/>
          <w:color w:val="231F20"/>
          <w:sz w:val="15"/>
          <w:szCs w:val="15"/>
        </w:rPr>
        <w:t>Para más información sobre los objetivos y la política de inversión del Fondo, así como sobre la relación limitada c</w:t>
      </w:r>
      <w:r>
        <w:rPr>
          <w:rFonts w:ascii="Arial" w:eastAsia="Arial" w:hAnsi="Arial" w:cs="Arial"/>
          <w:b/>
          <w:bCs/>
          <w:color w:val="231F20"/>
          <w:sz w:val="15"/>
          <w:szCs w:val="15"/>
        </w:rPr>
        <w:t>on el proveedor del índice, véase el apéndice 1 y el apéndice 6 del folleto de Vanguard Funds plc (el "folleto") en nuestro sitio web en</w:t>
      </w:r>
      <w:r>
        <w:rPr>
          <w:rFonts w:ascii="Arial" w:eastAsia="Arial" w:hAnsi="Arial" w:cs="Arial"/>
          <w:color w:val="231F20"/>
          <w:sz w:val="15"/>
          <w:szCs w:val="15"/>
        </w:rPr>
        <w:t xml:space="preserve"> https://global.vanguard.com</w:t>
      </w:r>
    </w:p>
    <w:p w14:paraId="632A8441" w14:textId="77777777" w:rsidR="00991C40" w:rsidRDefault="00C36143">
      <w:pPr>
        <w:spacing w:line="20" w:lineRule="exact"/>
        <w:rPr>
          <w:sz w:val="24"/>
          <w:szCs w:val="24"/>
        </w:rPr>
      </w:pPr>
      <w:r>
        <w:rPr>
          <w:noProof/>
          <w:sz w:val="24"/>
          <w:szCs w:val="24"/>
        </w:rPr>
        <mc:AlternateContent>
          <mc:Choice Requires="wps">
            <w:drawing>
              <wp:anchor distT="0" distB="0" distL="114300" distR="114300" simplePos="0" relativeHeight="251653632" behindDoc="1" locked="0" layoutInCell="0" allowOverlap="1" wp14:anchorId="77837F88" wp14:editId="07777777">
                <wp:simplePos x="0" y="0"/>
                <wp:positionH relativeFrom="column">
                  <wp:posOffset>-3454400</wp:posOffset>
                </wp:positionH>
                <wp:positionV relativeFrom="paragraph">
                  <wp:posOffset>2299970</wp:posOffset>
                </wp:positionV>
                <wp:extent cx="6845300" cy="0"/>
                <wp:effectExtent l="0" t="0" r="0" b="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w14:anchorId="2434D7C3" id="Shape 4" o:spid="_x0000_s1026" style="position:absolute;z-index:-251662848;visibility:visible;mso-wrap-style:square;mso-wrap-distance-left:9pt;mso-wrap-distance-top:0;mso-wrap-distance-right:9pt;mso-wrap-distance-bottom:0;mso-position-horizontal:absolute;mso-position-horizontal-relative:text;mso-position-vertical:absolute;mso-position-vertical-relative:text" from="-272pt,181.1pt" to="267pt,18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" o:allowincell="f" filled="t" strokecolor="#231f20" strokeweight=".4pt">
                <v:stroke joinstyle="miter"/>
                <o:lock v:ext="edit" shapetype="f"/>
              </v:line>
            </w:pict>
          </mc:Fallback>
        </mc:AlternateContent>
      </w:r>
    </w:p>
    <w:p w14:paraId="1FC39945" w14:textId="77777777" w:rsidR="00991C40" w:rsidRDefault="00991C40">
      <w:pPr>
        <w:spacing w:line="3536" w:lineRule="exact"/>
        <w:rPr>
          <w:sz w:val="24"/>
          <w:szCs w:val="24"/>
        </w:rPr>
      </w:pPr>
    </w:p>
    <w:p w14:paraId="0562CB0E" w14:textId="77777777" w:rsidR="00991C40" w:rsidRDefault="00991C40">
      <w:pPr>
        <w:sectPr w:rsidR="00991C40">
          <w:type w:val="continuous"/>
          <w:pgSz w:w="11900" w:h="16843"/>
          <w:pgMar w:top="969" w:right="700" w:bottom="0" w:left="560" w:header="0" w:footer="0" w:gutter="0"/>
          <w:cols w:num="2" w:space="720" w:equalWidth="0">
            <w:col w:w="5200" w:space="240"/>
            <w:col w:w="5200"/>
          </w:cols>
        </w:sectPr>
      </w:pPr>
    </w:p>
    <w:p w14:paraId="34CE0A41" w14:textId="77777777" w:rsidR="00991C40" w:rsidRDefault="00991C40">
      <w:pPr>
        <w:spacing w:line="163" w:lineRule="exact"/>
        <w:rPr>
          <w:sz w:val="24"/>
          <w:szCs w:val="24"/>
        </w:rPr>
      </w:pPr>
    </w:p>
    <w:p w14:paraId="55AFC5FB" w14:textId="77777777" w:rsidR="00991C40" w:rsidRDefault="00C36143">
      <w:pPr>
        <w:rPr>
          <w:sz w:val="20"/>
          <w:szCs w:val="20"/>
        </w:rPr>
      </w:pPr>
      <w:r>
        <w:rPr>
          <w:rFonts w:ascii="Arial" w:eastAsia="Arial" w:hAnsi="Arial" w:cs="Arial"/>
          <w:color w:val="231F20"/>
          <w:sz w:val="24"/>
          <w:szCs w:val="24"/>
        </w:rPr>
        <w:t>Perfil de riesgo y recompensa</w:t>
      </w:r>
    </w:p>
    <w:p w14:paraId="62EBF3C5" w14:textId="77777777" w:rsidR="00991C40" w:rsidRDefault="00991C40">
      <w:pPr>
        <w:spacing w:line="163" w:lineRule="exact"/>
        <w:rPr>
          <w:sz w:val="24"/>
          <w:szCs w:val="24"/>
        </w:rPr>
      </w:pPr>
    </w:p>
    <w:tbl>
      <w:tblPr>
        <w:tblW w:w="0" w:type="auto"/>
        <w:tblInd w:w="200" w:type="dxa"/>
        <w:tblLayout w:type="fixed"/>
        <w:tblCellMar>
          <w:left w:w="0" w:type="dxa"/>
          <w:right w:w="0" w:type="dxa"/>
        </w:tblCellMar>
        <w:tblLook w:val="04A0" w:firstRow="1" w:lastRow="0" w:firstColumn="1" w:lastColumn="0" w:noHBand="0" w:noVBand="1"/>
      </w:tblPr>
      <w:tblGrid>
        <w:gridCol w:w="760"/>
        <w:gridCol w:w="780"/>
        <w:gridCol w:w="520"/>
        <w:gridCol w:w="740"/>
        <w:gridCol w:w="720"/>
        <w:gridCol w:w="740"/>
        <w:gridCol w:w="340"/>
        <w:gridCol w:w="160"/>
      </w:tblGrid>
      <w:tr w:rsidR="00991C40" w14:paraId="526BCFF6" w14:textId="77777777">
        <w:trPr>
          <w:trHeight w:val="188"/>
        </w:trPr>
        <w:tc>
          <w:tcPr>
            <w:tcW w:w="760" w:type="dxa"/>
            <w:vAlign w:val="bottom"/>
          </w:tcPr>
          <w:p w14:paraId="547D03EA" w14:textId="77777777" w:rsidR="00991C40" w:rsidRDefault="00C36143">
            <w:pPr>
              <w:rPr>
                <w:sz w:val="20"/>
                <w:szCs w:val="20"/>
              </w:rPr>
            </w:pPr>
            <w:r>
              <w:rPr>
                <w:rFonts w:ascii="Arial" w:eastAsia="Arial" w:hAnsi="Arial" w:cs="Arial"/>
                <w:color w:val="231F20"/>
                <w:sz w:val="14"/>
                <w:szCs w:val="14"/>
              </w:rPr>
              <w:t>Menor riesgo</w:t>
            </w:r>
          </w:p>
        </w:tc>
        <w:tc>
          <w:tcPr>
            <w:tcW w:w="780" w:type="dxa"/>
            <w:vAlign w:val="bottom"/>
          </w:tcPr>
          <w:p w14:paraId="6D98A12B" w14:textId="77777777" w:rsidR="00991C40" w:rsidRDefault="00991C40">
            <w:pPr>
              <w:rPr>
                <w:sz w:val="16"/>
                <w:szCs w:val="16"/>
              </w:rPr>
            </w:pPr>
          </w:p>
        </w:tc>
        <w:tc>
          <w:tcPr>
            <w:tcW w:w="520" w:type="dxa"/>
            <w:vAlign w:val="bottom"/>
          </w:tcPr>
          <w:p w14:paraId="2946DB82" w14:textId="77777777" w:rsidR="00991C40" w:rsidRDefault="00991C40">
            <w:pPr>
              <w:rPr>
                <w:sz w:val="16"/>
                <w:szCs w:val="16"/>
              </w:rPr>
            </w:pPr>
          </w:p>
        </w:tc>
        <w:tc>
          <w:tcPr>
            <w:tcW w:w="740" w:type="dxa"/>
            <w:vAlign w:val="bottom"/>
          </w:tcPr>
          <w:p w14:paraId="5997CC1D" w14:textId="77777777" w:rsidR="00991C40" w:rsidRDefault="00991C40">
            <w:pPr>
              <w:rPr>
                <w:sz w:val="16"/>
                <w:szCs w:val="16"/>
              </w:rPr>
            </w:pPr>
          </w:p>
        </w:tc>
        <w:tc>
          <w:tcPr>
            <w:tcW w:w="720" w:type="dxa"/>
            <w:vAlign w:val="bottom"/>
          </w:tcPr>
          <w:p w14:paraId="110FFD37" w14:textId="77777777" w:rsidR="00991C40" w:rsidRDefault="00991C40">
            <w:pPr>
              <w:rPr>
                <w:sz w:val="16"/>
                <w:szCs w:val="16"/>
              </w:rPr>
            </w:pPr>
          </w:p>
        </w:tc>
        <w:tc>
          <w:tcPr>
            <w:tcW w:w="1080" w:type="dxa"/>
            <w:gridSpan w:val="2"/>
            <w:vAlign w:val="bottom"/>
          </w:tcPr>
          <w:p w14:paraId="251E2ACE" w14:textId="77777777" w:rsidR="00991C40" w:rsidRDefault="00C36143">
            <w:pPr>
              <w:jc w:val="right"/>
              <w:rPr>
                <w:sz w:val="20"/>
                <w:szCs w:val="20"/>
              </w:rPr>
            </w:pPr>
            <w:r>
              <w:rPr>
                <w:rFonts w:ascii="Arial" w:eastAsia="Arial" w:hAnsi="Arial" w:cs="Arial"/>
                <w:color w:val="231F20"/>
                <w:sz w:val="14"/>
                <w:szCs w:val="14"/>
              </w:rPr>
              <w:t>Mayor riesgo</w:t>
            </w:r>
          </w:p>
        </w:tc>
        <w:tc>
          <w:tcPr>
            <w:tcW w:w="160" w:type="dxa"/>
            <w:vAlign w:val="bottom"/>
          </w:tcPr>
          <w:p w14:paraId="6B699379" w14:textId="77777777" w:rsidR="00991C40" w:rsidRDefault="00991C40">
            <w:pPr>
              <w:rPr>
                <w:sz w:val="16"/>
                <w:szCs w:val="16"/>
              </w:rPr>
            </w:pPr>
          </w:p>
        </w:tc>
      </w:tr>
      <w:tr w:rsidR="00991C40" w14:paraId="1639C50B" w14:textId="77777777">
        <w:trPr>
          <w:trHeight w:val="264"/>
        </w:trPr>
        <w:tc>
          <w:tcPr>
            <w:tcW w:w="1540" w:type="dxa"/>
            <w:gridSpan w:val="2"/>
            <w:vAlign w:val="bottom"/>
          </w:tcPr>
          <w:p w14:paraId="7E8ED1B1" w14:textId="77777777" w:rsidR="00991C40" w:rsidRDefault="00C36143">
            <w:pPr>
              <w:rPr>
                <w:sz w:val="20"/>
                <w:szCs w:val="20"/>
              </w:rPr>
            </w:pPr>
            <w:r>
              <w:rPr>
                <w:rFonts w:ascii="Arial" w:eastAsia="Arial" w:hAnsi="Arial" w:cs="Arial"/>
                <w:color w:val="231F20"/>
                <w:sz w:val="14"/>
                <w:szCs w:val="14"/>
              </w:rPr>
              <w:t>Típicamente, menos recompensas</w:t>
            </w:r>
          </w:p>
        </w:tc>
        <w:tc>
          <w:tcPr>
            <w:tcW w:w="520" w:type="dxa"/>
            <w:vAlign w:val="bottom"/>
          </w:tcPr>
          <w:p w14:paraId="3FE9F23F" w14:textId="77777777" w:rsidR="00991C40" w:rsidRDefault="00991C40"/>
        </w:tc>
        <w:tc>
          <w:tcPr>
            <w:tcW w:w="740" w:type="dxa"/>
            <w:vAlign w:val="bottom"/>
          </w:tcPr>
          <w:p w14:paraId="1F72F646" w14:textId="77777777" w:rsidR="00991C40" w:rsidRDefault="00991C40"/>
        </w:tc>
        <w:tc>
          <w:tcPr>
            <w:tcW w:w="1800" w:type="dxa"/>
            <w:gridSpan w:val="3"/>
            <w:vAlign w:val="bottom"/>
          </w:tcPr>
          <w:p w14:paraId="7C99EDD6" w14:textId="77777777" w:rsidR="00991C40" w:rsidRDefault="00C36143">
            <w:pPr>
              <w:jc w:val="right"/>
              <w:rPr>
                <w:sz w:val="20"/>
                <w:szCs w:val="20"/>
              </w:rPr>
            </w:pPr>
            <w:r>
              <w:rPr>
                <w:rFonts w:ascii="Arial" w:eastAsia="Arial" w:hAnsi="Arial" w:cs="Arial"/>
                <w:color w:val="231F20"/>
                <w:sz w:val="14"/>
                <w:szCs w:val="14"/>
              </w:rPr>
              <w:t>Generalmente recompensas más altas</w:t>
            </w:r>
          </w:p>
        </w:tc>
        <w:tc>
          <w:tcPr>
            <w:tcW w:w="160" w:type="dxa"/>
            <w:vAlign w:val="bottom"/>
          </w:tcPr>
          <w:p w14:paraId="08CE6F91" w14:textId="77777777" w:rsidR="00991C40" w:rsidRDefault="00991C40"/>
        </w:tc>
      </w:tr>
      <w:tr w:rsidR="00991C40" w14:paraId="61CDCEAD" w14:textId="77777777">
        <w:trPr>
          <w:trHeight w:val="116"/>
        </w:trPr>
        <w:tc>
          <w:tcPr>
            <w:tcW w:w="760" w:type="dxa"/>
            <w:vAlign w:val="bottom"/>
          </w:tcPr>
          <w:p w14:paraId="6BB9E253" w14:textId="77777777" w:rsidR="00991C40" w:rsidRDefault="00991C40">
            <w:pPr>
              <w:rPr>
                <w:sz w:val="10"/>
                <w:szCs w:val="10"/>
              </w:rPr>
            </w:pPr>
          </w:p>
        </w:tc>
        <w:tc>
          <w:tcPr>
            <w:tcW w:w="780" w:type="dxa"/>
            <w:vAlign w:val="bottom"/>
          </w:tcPr>
          <w:p w14:paraId="23DE523C" w14:textId="77777777" w:rsidR="00991C40" w:rsidRDefault="00991C40">
            <w:pPr>
              <w:rPr>
                <w:sz w:val="10"/>
                <w:szCs w:val="10"/>
              </w:rPr>
            </w:pPr>
          </w:p>
        </w:tc>
        <w:tc>
          <w:tcPr>
            <w:tcW w:w="520" w:type="dxa"/>
            <w:vAlign w:val="bottom"/>
          </w:tcPr>
          <w:p w14:paraId="52E56223" w14:textId="77777777" w:rsidR="00991C40" w:rsidRDefault="00991C40">
            <w:pPr>
              <w:rPr>
                <w:sz w:val="10"/>
                <w:szCs w:val="10"/>
              </w:rPr>
            </w:pPr>
          </w:p>
        </w:tc>
        <w:tc>
          <w:tcPr>
            <w:tcW w:w="740" w:type="dxa"/>
            <w:vAlign w:val="bottom"/>
          </w:tcPr>
          <w:p w14:paraId="07547A01" w14:textId="77777777" w:rsidR="00991C40" w:rsidRDefault="00991C40">
            <w:pPr>
              <w:rPr>
                <w:sz w:val="10"/>
                <w:szCs w:val="10"/>
              </w:rPr>
            </w:pPr>
          </w:p>
        </w:tc>
        <w:tc>
          <w:tcPr>
            <w:tcW w:w="720" w:type="dxa"/>
            <w:vAlign w:val="bottom"/>
          </w:tcPr>
          <w:p w14:paraId="5043CB0F" w14:textId="77777777" w:rsidR="00991C40" w:rsidRDefault="00991C40">
            <w:pPr>
              <w:rPr>
                <w:sz w:val="10"/>
                <w:szCs w:val="10"/>
              </w:rPr>
            </w:pPr>
          </w:p>
        </w:tc>
        <w:tc>
          <w:tcPr>
            <w:tcW w:w="740" w:type="dxa"/>
            <w:vAlign w:val="bottom"/>
          </w:tcPr>
          <w:p w14:paraId="07459315" w14:textId="77777777" w:rsidR="00991C40" w:rsidRDefault="00991C40">
            <w:pPr>
              <w:rPr>
                <w:sz w:val="10"/>
                <w:szCs w:val="10"/>
              </w:rPr>
            </w:pPr>
          </w:p>
        </w:tc>
        <w:tc>
          <w:tcPr>
            <w:tcW w:w="340" w:type="dxa"/>
            <w:vAlign w:val="bottom"/>
          </w:tcPr>
          <w:p w14:paraId="6537F28F" w14:textId="77777777" w:rsidR="00991C40" w:rsidRDefault="00991C40">
            <w:pPr>
              <w:rPr>
                <w:sz w:val="10"/>
                <w:szCs w:val="10"/>
              </w:rPr>
            </w:pPr>
          </w:p>
        </w:tc>
        <w:tc>
          <w:tcPr>
            <w:tcW w:w="160" w:type="dxa"/>
            <w:vAlign w:val="bottom"/>
          </w:tcPr>
          <w:p w14:paraId="6DFB9E20" w14:textId="77777777" w:rsidR="00991C40" w:rsidRDefault="00991C40">
            <w:pPr>
              <w:rPr>
                <w:sz w:val="10"/>
                <w:szCs w:val="10"/>
              </w:rPr>
            </w:pPr>
          </w:p>
        </w:tc>
      </w:tr>
      <w:tr w:rsidR="00991C40" w14:paraId="4E4F49DB" w14:textId="77777777">
        <w:trPr>
          <w:trHeight w:val="390"/>
        </w:trPr>
        <w:tc>
          <w:tcPr>
            <w:tcW w:w="760" w:type="dxa"/>
            <w:vAlign w:val="bottom"/>
          </w:tcPr>
          <w:p w14:paraId="649841BE" w14:textId="77777777" w:rsidR="00991C40" w:rsidRDefault="00C36143">
            <w:pPr>
              <w:ind w:right="393"/>
              <w:jc w:val="right"/>
              <w:rPr>
                <w:sz w:val="20"/>
                <w:szCs w:val="20"/>
              </w:rPr>
            </w:pPr>
            <w:r>
              <w:rPr>
                <w:rFonts w:ascii="Arial" w:eastAsia="Arial" w:hAnsi="Arial" w:cs="Arial"/>
                <w:b/>
                <w:bCs/>
                <w:sz w:val="24"/>
                <w:szCs w:val="24"/>
              </w:rPr>
              <w:t>1</w:t>
            </w:r>
          </w:p>
        </w:tc>
        <w:tc>
          <w:tcPr>
            <w:tcW w:w="780" w:type="dxa"/>
            <w:vAlign w:val="bottom"/>
          </w:tcPr>
          <w:p w14:paraId="18F999B5" w14:textId="77777777" w:rsidR="00991C40" w:rsidRDefault="00C36143">
            <w:pPr>
              <w:ind w:right="400"/>
              <w:jc w:val="right"/>
              <w:rPr>
                <w:sz w:val="20"/>
                <w:szCs w:val="20"/>
              </w:rPr>
            </w:pPr>
            <w:r>
              <w:rPr>
                <w:rFonts w:ascii="Arial" w:eastAsia="Arial" w:hAnsi="Arial" w:cs="Arial"/>
                <w:b/>
                <w:bCs/>
                <w:sz w:val="24"/>
                <w:szCs w:val="24"/>
              </w:rPr>
              <w:t>2</w:t>
            </w:r>
          </w:p>
        </w:tc>
        <w:tc>
          <w:tcPr>
            <w:tcW w:w="520" w:type="dxa"/>
            <w:vAlign w:val="bottom"/>
          </w:tcPr>
          <w:p w14:paraId="5FCD5EC4" w14:textId="77777777" w:rsidR="00991C40" w:rsidRDefault="00C36143">
            <w:pPr>
              <w:ind w:right="180"/>
              <w:jc w:val="right"/>
              <w:rPr>
                <w:sz w:val="20"/>
                <w:szCs w:val="20"/>
              </w:rPr>
            </w:pPr>
            <w:r>
              <w:rPr>
                <w:rFonts w:ascii="Arial" w:eastAsia="Arial" w:hAnsi="Arial" w:cs="Arial"/>
                <w:b/>
                <w:bCs/>
                <w:sz w:val="24"/>
                <w:szCs w:val="24"/>
              </w:rPr>
              <w:t>3</w:t>
            </w:r>
          </w:p>
        </w:tc>
        <w:tc>
          <w:tcPr>
            <w:tcW w:w="740" w:type="dxa"/>
            <w:vAlign w:val="bottom"/>
          </w:tcPr>
          <w:p w14:paraId="2598DEE6" w14:textId="77777777" w:rsidR="00991C40" w:rsidRDefault="00C36143">
            <w:pPr>
              <w:ind w:right="180"/>
              <w:jc w:val="right"/>
              <w:rPr>
                <w:sz w:val="20"/>
                <w:szCs w:val="20"/>
              </w:rPr>
            </w:pPr>
            <w:r>
              <w:rPr>
                <w:rFonts w:ascii="Arial" w:eastAsia="Arial" w:hAnsi="Arial" w:cs="Arial"/>
                <w:b/>
                <w:bCs/>
                <w:sz w:val="24"/>
                <w:szCs w:val="24"/>
              </w:rPr>
              <w:t>4</w:t>
            </w:r>
          </w:p>
        </w:tc>
        <w:tc>
          <w:tcPr>
            <w:tcW w:w="720" w:type="dxa"/>
            <w:vAlign w:val="bottom"/>
          </w:tcPr>
          <w:p w14:paraId="78941E47" w14:textId="77777777" w:rsidR="00991C40" w:rsidRDefault="00C36143">
            <w:pPr>
              <w:ind w:right="185"/>
              <w:jc w:val="right"/>
              <w:rPr>
                <w:sz w:val="20"/>
                <w:szCs w:val="20"/>
              </w:rPr>
            </w:pPr>
            <w:r>
              <w:rPr>
                <w:rFonts w:ascii="Arial" w:eastAsia="Arial" w:hAnsi="Arial" w:cs="Arial"/>
                <w:b/>
                <w:bCs/>
                <w:sz w:val="24"/>
                <w:szCs w:val="24"/>
              </w:rPr>
              <w:t>5</w:t>
            </w:r>
          </w:p>
        </w:tc>
        <w:tc>
          <w:tcPr>
            <w:tcW w:w="740" w:type="dxa"/>
            <w:shd w:val="clear" w:color="auto" w:fill="231F20"/>
            <w:vAlign w:val="bottom"/>
          </w:tcPr>
          <w:p w14:paraId="29B4EA11" w14:textId="77777777" w:rsidR="00991C40" w:rsidRDefault="00C36143">
            <w:pPr>
              <w:ind w:right="165"/>
              <w:jc w:val="right"/>
              <w:rPr>
                <w:sz w:val="20"/>
                <w:szCs w:val="20"/>
              </w:rPr>
            </w:pPr>
            <w:r>
              <w:rPr>
                <w:rFonts w:ascii="Arial" w:eastAsia="Arial" w:hAnsi="Arial" w:cs="Arial"/>
                <w:b/>
                <w:bCs/>
                <w:color w:val="FFFFFF"/>
                <w:sz w:val="24"/>
                <w:szCs w:val="24"/>
              </w:rPr>
              <w:t>6</w:t>
            </w:r>
          </w:p>
        </w:tc>
        <w:tc>
          <w:tcPr>
            <w:tcW w:w="340" w:type="dxa"/>
            <w:vAlign w:val="bottom"/>
          </w:tcPr>
          <w:p w14:paraId="70DF9E56" w14:textId="77777777" w:rsidR="00991C40" w:rsidRDefault="00991C40">
            <w:pPr>
              <w:rPr>
                <w:sz w:val="24"/>
                <w:szCs w:val="24"/>
              </w:rPr>
            </w:pPr>
          </w:p>
        </w:tc>
        <w:tc>
          <w:tcPr>
            <w:tcW w:w="160" w:type="dxa"/>
            <w:vAlign w:val="bottom"/>
          </w:tcPr>
          <w:p w14:paraId="75697EEC" w14:textId="77777777" w:rsidR="00991C40" w:rsidRDefault="00C36143">
            <w:pPr>
              <w:jc w:val="right"/>
              <w:rPr>
                <w:sz w:val="20"/>
                <w:szCs w:val="20"/>
              </w:rPr>
            </w:pPr>
            <w:r>
              <w:rPr>
                <w:rFonts w:ascii="Arial" w:eastAsia="Arial" w:hAnsi="Arial" w:cs="Arial"/>
                <w:b/>
                <w:bCs/>
                <w:w w:val="89"/>
                <w:sz w:val="24"/>
                <w:szCs w:val="24"/>
              </w:rPr>
              <w:t>7</w:t>
            </w:r>
          </w:p>
        </w:tc>
      </w:tr>
      <w:tr w:rsidR="00991C40" w14:paraId="44E871BC" w14:textId="77777777">
        <w:trPr>
          <w:trHeight w:val="22"/>
        </w:trPr>
        <w:tc>
          <w:tcPr>
            <w:tcW w:w="760" w:type="dxa"/>
            <w:vAlign w:val="bottom"/>
          </w:tcPr>
          <w:p w14:paraId="144A5D23" w14:textId="77777777" w:rsidR="00991C40" w:rsidRDefault="00991C40">
            <w:pPr>
              <w:spacing w:line="20" w:lineRule="exact"/>
              <w:rPr>
                <w:sz w:val="1"/>
                <w:szCs w:val="1"/>
              </w:rPr>
            </w:pPr>
          </w:p>
        </w:tc>
        <w:tc>
          <w:tcPr>
            <w:tcW w:w="780" w:type="dxa"/>
            <w:vAlign w:val="bottom"/>
          </w:tcPr>
          <w:p w14:paraId="738610EB" w14:textId="77777777" w:rsidR="00991C40" w:rsidRDefault="00991C40">
            <w:pPr>
              <w:spacing w:line="20" w:lineRule="exact"/>
              <w:rPr>
                <w:sz w:val="1"/>
                <w:szCs w:val="1"/>
              </w:rPr>
            </w:pPr>
          </w:p>
        </w:tc>
        <w:tc>
          <w:tcPr>
            <w:tcW w:w="520" w:type="dxa"/>
            <w:vAlign w:val="bottom"/>
          </w:tcPr>
          <w:p w14:paraId="637805D2" w14:textId="77777777" w:rsidR="00991C40" w:rsidRDefault="00991C40">
            <w:pPr>
              <w:spacing w:line="20" w:lineRule="exact"/>
              <w:rPr>
                <w:sz w:val="1"/>
                <w:szCs w:val="1"/>
              </w:rPr>
            </w:pPr>
          </w:p>
        </w:tc>
        <w:tc>
          <w:tcPr>
            <w:tcW w:w="740" w:type="dxa"/>
            <w:vAlign w:val="bottom"/>
          </w:tcPr>
          <w:p w14:paraId="463F29E8" w14:textId="77777777" w:rsidR="00991C40" w:rsidRDefault="00991C40">
            <w:pPr>
              <w:spacing w:line="20" w:lineRule="exact"/>
              <w:rPr>
                <w:sz w:val="1"/>
                <w:szCs w:val="1"/>
              </w:rPr>
            </w:pPr>
          </w:p>
        </w:tc>
        <w:tc>
          <w:tcPr>
            <w:tcW w:w="720" w:type="dxa"/>
            <w:vAlign w:val="bottom"/>
          </w:tcPr>
          <w:p w14:paraId="3B7B4B86" w14:textId="77777777" w:rsidR="00991C40" w:rsidRDefault="00991C40">
            <w:pPr>
              <w:spacing w:line="20" w:lineRule="exact"/>
              <w:rPr>
                <w:sz w:val="1"/>
                <w:szCs w:val="1"/>
              </w:rPr>
            </w:pPr>
          </w:p>
        </w:tc>
        <w:tc>
          <w:tcPr>
            <w:tcW w:w="740" w:type="dxa"/>
            <w:shd w:val="clear" w:color="auto" w:fill="231F20"/>
            <w:vAlign w:val="bottom"/>
          </w:tcPr>
          <w:p w14:paraId="3A0FF5F2" w14:textId="77777777" w:rsidR="00991C40" w:rsidRDefault="00991C40">
            <w:pPr>
              <w:spacing w:line="20" w:lineRule="exact"/>
              <w:rPr>
                <w:sz w:val="1"/>
                <w:szCs w:val="1"/>
              </w:rPr>
            </w:pPr>
          </w:p>
        </w:tc>
        <w:tc>
          <w:tcPr>
            <w:tcW w:w="340" w:type="dxa"/>
            <w:vAlign w:val="bottom"/>
          </w:tcPr>
          <w:p w14:paraId="5630AD66" w14:textId="77777777" w:rsidR="00991C40" w:rsidRDefault="00991C40">
            <w:pPr>
              <w:spacing w:line="20" w:lineRule="exact"/>
              <w:rPr>
                <w:sz w:val="1"/>
                <w:szCs w:val="1"/>
              </w:rPr>
            </w:pPr>
          </w:p>
        </w:tc>
        <w:tc>
          <w:tcPr>
            <w:tcW w:w="160" w:type="dxa"/>
            <w:vAlign w:val="bottom"/>
          </w:tcPr>
          <w:p w14:paraId="61829076" w14:textId="77777777" w:rsidR="00991C40" w:rsidRDefault="00991C40">
            <w:pPr>
              <w:spacing w:line="20" w:lineRule="exact"/>
              <w:rPr>
                <w:sz w:val="1"/>
                <w:szCs w:val="1"/>
              </w:rPr>
            </w:pPr>
          </w:p>
        </w:tc>
      </w:tr>
    </w:tbl>
    <w:p w14:paraId="51FB1786" w14:textId="77777777" w:rsidR="00991C40" w:rsidRDefault="00C36143">
      <w:pPr>
        <w:spacing w:line="20" w:lineRule="exact"/>
        <w:rPr>
          <w:sz w:val="24"/>
          <w:szCs w:val="24"/>
        </w:rPr>
      </w:pPr>
      <w:r>
        <w:rPr>
          <w:noProof/>
          <w:sz w:val="24"/>
          <w:szCs w:val="24"/>
        </w:rPr>
        <w:drawing>
          <wp:anchor distT="0" distB="0" distL="114300" distR="114300" simplePos="0" relativeHeight="251654656" behindDoc="1" locked="0" layoutInCell="0" allowOverlap="1" wp14:anchorId="665397E8" wp14:editId="07777777">
            <wp:simplePos x="0" y="0"/>
            <wp:positionH relativeFrom="column">
              <wp:posOffset>-4445</wp:posOffset>
            </wp:positionH>
            <wp:positionV relativeFrom="paragraph">
              <wp:posOffset>-522605</wp:posOffset>
            </wp:positionV>
            <wp:extent cx="3312160" cy="8636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srcRect/>
                    <a:stretch>
                      <a:fillRect/>
                    </a:stretch>
                  </pic:blipFill>
                  <pic:spPr bwMode="auto">
                    <a:xfrm>
                      <a:off x="0" y="0"/>
                      <a:ext cx="3312160" cy="86360"/>
                    </a:xfrm>
                    <a:prstGeom prst="rect">
                      <a:avLst/>
                    </a:prstGeom>
                    <a:noFill/>
                  </pic:spPr>
                </pic:pic>
              </a:graphicData>
            </a:graphic>
          </wp:anchor>
        </w:drawing>
      </w:r>
      <w:r>
        <w:rPr>
          <w:noProof/>
          <w:sz w:val="24"/>
          <w:szCs w:val="24"/>
        </w:rPr>
        <w:drawing>
          <wp:anchor distT="0" distB="0" distL="114300" distR="114300" simplePos="0" relativeHeight="251655680" behindDoc="1" locked="0" layoutInCell="0" allowOverlap="1" wp14:anchorId="5BFFBD84" wp14:editId="07777777">
            <wp:simplePos x="0" y="0"/>
            <wp:positionH relativeFrom="column">
              <wp:posOffset>-4445</wp:posOffset>
            </wp:positionH>
            <wp:positionV relativeFrom="paragraph">
              <wp:posOffset>-271145</wp:posOffset>
            </wp:positionV>
            <wp:extent cx="3317240" cy="28194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3317240" cy="281940"/>
                    </a:xfrm>
                    <a:prstGeom prst="rect">
                      <a:avLst/>
                    </a:prstGeom>
                    <a:noFill/>
                  </pic:spPr>
                </pic:pic>
              </a:graphicData>
            </a:graphic>
          </wp:anchor>
        </w:drawing>
      </w:r>
    </w:p>
    <w:p w14:paraId="2BA226A1" w14:textId="77777777" w:rsidR="00991C40" w:rsidRDefault="00991C40">
      <w:pPr>
        <w:spacing w:line="84" w:lineRule="exact"/>
        <w:rPr>
          <w:sz w:val="24"/>
          <w:szCs w:val="24"/>
        </w:rPr>
      </w:pPr>
    </w:p>
    <w:p w14:paraId="09AD486D" w14:textId="77777777" w:rsidR="00991C40" w:rsidRDefault="00C36143">
      <w:pPr>
        <w:spacing w:line="245" w:lineRule="auto"/>
        <w:ind w:left="140" w:hanging="139"/>
        <w:rPr>
          <w:sz w:val="20"/>
          <w:szCs w:val="20"/>
        </w:rPr>
      </w:pPr>
      <w:r>
        <w:rPr>
          <w:rFonts w:ascii="Arial" w:eastAsia="Arial" w:hAnsi="Arial" w:cs="Arial"/>
          <w:color w:val="231F20"/>
          <w:sz w:val="16"/>
          <w:szCs w:val="16"/>
        </w:rPr>
        <w:t>Este indicador se basa en datos históricos y puede no ser una indicación fiable del perfil de riesgo futuro de la Caja.</w:t>
      </w:r>
    </w:p>
    <w:p w14:paraId="17AD93B2" w14:textId="77777777" w:rsidR="00991C40" w:rsidRDefault="00991C40">
      <w:pPr>
        <w:spacing w:line="1" w:lineRule="exact"/>
        <w:rPr>
          <w:sz w:val="24"/>
          <w:szCs w:val="24"/>
        </w:rPr>
      </w:pPr>
    </w:p>
    <w:p w14:paraId="429B0628" w14:textId="77777777" w:rsidR="00991C40" w:rsidRDefault="00C36143">
      <w:pPr>
        <w:numPr>
          <w:ilvl w:val="0"/>
          <w:numId w:val="8"/>
        </w:numPr>
        <w:tabs>
          <w:tab w:val="left" w:pos="140"/>
        </w:tabs>
        <w:ind w:left="140" w:hanging="140"/>
        <w:rPr>
          <w:rFonts w:ascii="Arial" w:eastAsia="Arial" w:hAnsi="Arial" w:cs="Arial"/>
          <w:color w:val="231F20"/>
          <w:sz w:val="16"/>
          <w:szCs w:val="16"/>
        </w:rPr>
      </w:pPr>
      <w:r>
        <w:rPr>
          <w:rFonts w:ascii="Arial" w:eastAsia="Arial" w:hAnsi="Arial" w:cs="Arial"/>
          <w:color w:val="231F20"/>
          <w:sz w:val="16"/>
          <w:szCs w:val="16"/>
        </w:rPr>
        <w:t>La categoría de riesgo mostrada no está garantizada y puede cambiar con el tiempo.</w:t>
      </w:r>
    </w:p>
    <w:p w14:paraId="0DE4B5B7" w14:textId="77777777" w:rsidR="00991C40" w:rsidRDefault="00991C40">
      <w:pPr>
        <w:spacing w:line="16" w:lineRule="exact"/>
        <w:rPr>
          <w:rFonts w:ascii="Arial" w:eastAsia="Arial" w:hAnsi="Arial" w:cs="Arial"/>
          <w:color w:val="231F20"/>
          <w:sz w:val="16"/>
          <w:szCs w:val="16"/>
        </w:rPr>
      </w:pPr>
    </w:p>
    <w:p w14:paraId="6A90289D" w14:textId="77777777" w:rsidR="00991C40" w:rsidRDefault="00C36143">
      <w:pPr>
        <w:numPr>
          <w:ilvl w:val="0"/>
          <w:numId w:val="9"/>
        </w:numPr>
        <w:tabs>
          <w:tab w:val="left" w:pos="140"/>
        </w:tabs>
        <w:ind w:left="140" w:hanging="140"/>
        <w:rPr>
          <w:rFonts w:ascii="Arial" w:eastAsia="Arial" w:hAnsi="Arial" w:cs="Arial"/>
          <w:color w:val="231F20"/>
          <w:sz w:val="16"/>
          <w:szCs w:val="16"/>
        </w:rPr>
      </w:pPr>
      <w:r>
        <w:rPr>
          <w:rFonts w:ascii="Arial" w:eastAsia="Arial" w:hAnsi="Arial" w:cs="Arial"/>
          <w:color w:val="231F20"/>
          <w:sz w:val="16"/>
          <w:szCs w:val="16"/>
        </w:rPr>
        <w:t>La categoría más baja no significa “libre de riesgo”.</w:t>
      </w:r>
    </w:p>
    <w:p w14:paraId="66204FF1" w14:textId="77777777" w:rsidR="00991C40" w:rsidRDefault="00991C40">
      <w:pPr>
        <w:spacing w:line="16" w:lineRule="exact"/>
        <w:rPr>
          <w:sz w:val="24"/>
          <w:szCs w:val="24"/>
        </w:rPr>
      </w:pPr>
    </w:p>
    <w:p w14:paraId="1E575DBC" w14:textId="77777777" w:rsidR="00991C40" w:rsidRDefault="00C36143">
      <w:pPr>
        <w:spacing w:line="225" w:lineRule="auto"/>
        <w:ind w:left="140" w:hanging="139"/>
        <w:jc w:val="both"/>
        <w:rPr>
          <w:sz w:val="20"/>
          <w:szCs w:val="20"/>
        </w:rPr>
      </w:pPr>
      <w:r>
        <w:rPr>
          <w:rFonts w:ascii="Arial" w:eastAsia="Arial" w:hAnsi="Arial" w:cs="Arial"/>
          <w:color w:val="231F20"/>
          <w:sz w:val="16"/>
          <w:szCs w:val="16"/>
        </w:rPr>
        <w:t xml:space="preserve">2 La calificación de la Caja es de 6 debido a la naturaleza de sus inversiones, que incluyen los riesgos que se enumeran a continuación. Estos factores pueden influir en el valor de las inversiones de </w:t>
      </w:r>
      <w:r>
        <w:rPr>
          <w:rFonts w:ascii="Arial" w:eastAsia="Arial" w:hAnsi="Arial" w:cs="Arial"/>
          <w:color w:val="231F20"/>
          <w:sz w:val="16"/>
          <w:szCs w:val="16"/>
        </w:rPr>
        <w:t>la Caja o exponerla a pérdidas.</w:t>
      </w:r>
    </w:p>
    <w:p w14:paraId="2DBF0D7D" w14:textId="77777777" w:rsidR="00991C40" w:rsidRDefault="00991C40">
      <w:pPr>
        <w:spacing w:line="1" w:lineRule="exact"/>
        <w:rPr>
          <w:sz w:val="24"/>
          <w:szCs w:val="24"/>
        </w:rPr>
      </w:pPr>
    </w:p>
    <w:p w14:paraId="53B91089" w14:textId="77777777" w:rsidR="00991C40" w:rsidRDefault="00C36143">
      <w:pPr>
        <w:numPr>
          <w:ilvl w:val="0"/>
          <w:numId w:val="10"/>
        </w:numPr>
        <w:tabs>
          <w:tab w:val="left" w:pos="243"/>
        </w:tabs>
        <w:spacing w:line="241" w:lineRule="auto"/>
        <w:ind w:left="140"/>
        <w:jc w:val="both"/>
        <w:rPr>
          <w:rFonts w:ascii="Arial" w:eastAsia="Arial" w:hAnsi="Arial" w:cs="Arial"/>
          <w:color w:val="231F20"/>
          <w:sz w:val="15"/>
          <w:szCs w:val="15"/>
        </w:rPr>
      </w:pPr>
      <w:r>
        <w:rPr>
          <w:rFonts w:ascii="Arial" w:eastAsia="Arial" w:hAnsi="Arial" w:cs="Arial"/>
          <w:color w:val="231F20"/>
          <w:sz w:val="15"/>
          <w:szCs w:val="15"/>
        </w:rPr>
        <w:t>El valor de las acciones y de los valores relacionados con las acciones puede verse afectado por los movimientos diarios del mercado de valores. Otros factores influyentes son las noticias políticas, económicas, los benefic</w:t>
      </w:r>
      <w:r>
        <w:rPr>
          <w:rFonts w:ascii="Arial" w:eastAsia="Arial" w:hAnsi="Arial" w:cs="Arial"/>
          <w:color w:val="231F20"/>
          <w:sz w:val="15"/>
          <w:szCs w:val="15"/>
        </w:rPr>
        <w:t>ios de las empresas y los acontecimientos corporativos importantes.</w:t>
      </w:r>
    </w:p>
    <w:p w14:paraId="10B28CF2" w14:textId="77777777" w:rsidR="00991C40" w:rsidRDefault="00C36143">
      <w:pPr>
        <w:numPr>
          <w:ilvl w:val="0"/>
          <w:numId w:val="10"/>
        </w:numPr>
        <w:tabs>
          <w:tab w:val="left" w:pos="220"/>
        </w:tabs>
        <w:spacing w:line="221" w:lineRule="auto"/>
        <w:ind w:left="140"/>
        <w:jc w:val="both"/>
        <w:rPr>
          <w:rFonts w:ascii="Arial" w:eastAsia="Arial" w:hAnsi="Arial" w:cs="Arial"/>
          <w:color w:val="231F20"/>
          <w:sz w:val="16"/>
          <w:szCs w:val="16"/>
        </w:rPr>
      </w:pPr>
      <w:r>
        <w:rPr>
          <w:rFonts w:ascii="Arial" w:eastAsia="Arial" w:hAnsi="Arial" w:cs="Arial"/>
          <w:color w:val="231F20"/>
          <w:sz w:val="16"/>
          <w:szCs w:val="16"/>
        </w:rPr>
        <w:t>Los mercados emergentes son generalmente más sensibles a las condiciones económicas y políticas que los mercados desarrollados. Otros factores incluyen un mayor "riesgo de liquidez", restr</w:t>
      </w:r>
      <w:r>
        <w:rPr>
          <w:rFonts w:ascii="Arial" w:eastAsia="Arial" w:hAnsi="Arial" w:cs="Arial"/>
          <w:color w:val="231F20"/>
          <w:sz w:val="16"/>
          <w:szCs w:val="16"/>
        </w:rPr>
        <w:t>icciones a la inversión o transferencias de activos y la entrega fallida o retrasada de valores o pagos a la Caja.</w:t>
      </w:r>
    </w:p>
    <w:p w14:paraId="6B62F1B3" w14:textId="77777777" w:rsidR="00991C40" w:rsidRDefault="00991C40">
      <w:pPr>
        <w:spacing w:line="2" w:lineRule="exact"/>
        <w:rPr>
          <w:rFonts w:ascii="Arial" w:eastAsia="Arial" w:hAnsi="Arial" w:cs="Arial"/>
          <w:color w:val="231F20"/>
          <w:sz w:val="16"/>
          <w:szCs w:val="16"/>
        </w:rPr>
      </w:pPr>
    </w:p>
    <w:p w14:paraId="689EF0F2" w14:textId="77777777" w:rsidR="00991C40" w:rsidRDefault="00C36143">
      <w:pPr>
        <w:numPr>
          <w:ilvl w:val="0"/>
          <w:numId w:val="10"/>
        </w:numPr>
        <w:tabs>
          <w:tab w:val="left" w:pos="225"/>
        </w:tabs>
        <w:spacing w:line="226" w:lineRule="auto"/>
        <w:ind w:left="140"/>
        <w:jc w:val="both"/>
        <w:rPr>
          <w:rFonts w:ascii="Arial" w:eastAsia="Arial" w:hAnsi="Arial" w:cs="Arial"/>
          <w:color w:val="231F20"/>
          <w:sz w:val="16"/>
          <w:szCs w:val="16"/>
        </w:rPr>
      </w:pPr>
      <w:r>
        <w:rPr>
          <w:rFonts w:ascii="Arial" w:eastAsia="Arial" w:hAnsi="Arial" w:cs="Arial"/>
          <w:color w:val="231F20"/>
          <w:sz w:val="16"/>
          <w:szCs w:val="16"/>
        </w:rPr>
        <w:t>El riesgo de inversión se concentra en sectores, países, divisas o empresas específicos. Esto significa que el Fondo es más sensible a cualq</w:t>
      </w:r>
      <w:r>
        <w:rPr>
          <w:rFonts w:ascii="Arial" w:eastAsia="Arial" w:hAnsi="Arial" w:cs="Arial"/>
          <w:color w:val="231F20"/>
          <w:sz w:val="16"/>
          <w:szCs w:val="16"/>
        </w:rPr>
        <w:t>uier acontecimiento económico, de mercado, político o reglamentario localizado.</w:t>
      </w:r>
    </w:p>
    <w:p w14:paraId="4AB8A061" w14:textId="77777777" w:rsidR="00991C40" w:rsidRDefault="00C36143">
      <w:pPr>
        <w:numPr>
          <w:ilvl w:val="0"/>
          <w:numId w:val="10"/>
        </w:numPr>
        <w:tabs>
          <w:tab w:val="left" w:pos="260"/>
        </w:tabs>
        <w:spacing w:line="226" w:lineRule="auto"/>
        <w:ind w:left="140"/>
        <w:jc w:val="both"/>
        <w:rPr>
          <w:rFonts w:ascii="Arial" w:eastAsia="Arial" w:hAnsi="Arial" w:cs="Arial"/>
          <w:color w:val="231F20"/>
          <w:sz w:val="16"/>
          <w:szCs w:val="16"/>
        </w:rPr>
      </w:pPr>
      <w:r>
        <w:rPr>
          <w:rFonts w:ascii="Arial" w:eastAsia="Arial" w:hAnsi="Arial" w:cs="Arial"/>
          <w:color w:val="231F20"/>
          <w:sz w:val="16"/>
          <w:szCs w:val="16"/>
        </w:rPr>
        <w:t xml:space="preserve">Uso de derivados. El uso de derivados podría aumentar o reducir la exposición a los activos subyacentes y dar lugar a mayores fluctuaciones del valor neto de los activos de la </w:t>
      </w:r>
      <w:r>
        <w:rPr>
          <w:rFonts w:ascii="Arial" w:eastAsia="Arial" w:hAnsi="Arial" w:cs="Arial"/>
          <w:color w:val="231F20"/>
          <w:sz w:val="16"/>
          <w:szCs w:val="16"/>
        </w:rPr>
        <w:t>Caja.</w:t>
      </w:r>
    </w:p>
    <w:p w14:paraId="02F2C34E" w14:textId="77777777" w:rsidR="00991C40" w:rsidRDefault="00991C40">
      <w:pPr>
        <w:spacing w:line="4" w:lineRule="exact"/>
        <w:rPr>
          <w:sz w:val="24"/>
          <w:szCs w:val="24"/>
        </w:rPr>
      </w:pPr>
    </w:p>
    <w:p w14:paraId="4817AD9B" w14:textId="77777777" w:rsidR="00991C40" w:rsidRDefault="00C36143">
      <w:pPr>
        <w:spacing w:line="252" w:lineRule="auto"/>
        <w:jc w:val="both"/>
        <w:rPr>
          <w:sz w:val="20"/>
          <w:szCs w:val="20"/>
        </w:rPr>
      </w:pPr>
      <w:r>
        <w:rPr>
          <w:rFonts w:ascii="Arial" w:eastAsia="Arial" w:hAnsi="Arial" w:cs="Arial"/>
          <w:b/>
          <w:bCs/>
          <w:color w:val="231F20"/>
          <w:sz w:val="16"/>
          <w:szCs w:val="16"/>
        </w:rPr>
        <w:t>El indicador de riesgo y remuneración no tiene en cuenta los siguientes riesgos de invertir en la Caja:</w:t>
      </w:r>
    </w:p>
    <w:p w14:paraId="4156E0A9" w14:textId="77777777" w:rsidR="00991C40" w:rsidRDefault="00C36143">
      <w:pPr>
        <w:spacing w:line="221" w:lineRule="auto"/>
        <w:ind w:left="140" w:hanging="139"/>
        <w:jc w:val="both"/>
        <w:rPr>
          <w:sz w:val="20"/>
          <w:szCs w:val="20"/>
        </w:rPr>
      </w:pPr>
      <w:r>
        <w:rPr>
          <w:rFonts w:ascii="Arial" w:eastAsia="Arial" w:hAnsi="Arial" w:cs="Arial"/>
          <w:color w:val="231F20"/>
          <w:sz w:val="16"/>
          <w:szCs w:val="16"/>
        </w:rPr>
        <w:t>2 Riesgo de contraparte.</w:t>
      </w:r>
      <w:r>
        <w:rPr>
          <w:rFonts w:ascii="Arial" w:eastAsia="Arial" w:hAnsi="Arial" w:cs="Arial"/>
          <w:color w:val="231F20"/>
          <w:sz w:val="16"/>
          <w:szCs w:val="16"/>
        </w:rPr>
        <w:t xml:space="preserve"> La insolvencia de cualesquiera instituciones que presten servicios, como la custodia de activos o que actúen como contrapartes de derivados u otros instrumentos, puede exponer a la Caja a pérdidas financieras.</w:t>
      </w:r>
    </w:p>
    <w:p w14:paraId="680A4E5D" w14:textId="77777777" w:rsidR="00991C40" w:rsidRDefault="00991C40">
      <w:pPr>
        <w:spacing w:line="2" w:lineRule="exact"/>
        <w:rPr>
          <w:sz w:val="24"/>
          <w:szCs w:val="24"/>
        </w:rPr>
      </w:pPr>
    </w:p>
    <w:p w14:paraId="71EF3A7A" w14:textId="77777777" w:rsidR="00991C40" w:rsidRDefault="00C36143">
      <w:pPr>
        <w:numPr>
          <w:ilvl w:val="0"/>
          <w:numId w:val="11"/>
        </w:numPr>
        <w:tabs>
          <w:tab w:val="left" w:pos="140"/>
        </w:tabs>
        <w:spacing w:line="219" w:lineRule="auto"/>
        <w:ind w:left="140" w:hanging="140"/>
        <w:jc w:val="both"/>
        <w:rPr>
          <w:rFonts w:ascii="Arial" w:eastAsia="Arial" w:hAnsi="Arial" w:cs="Arial"/>
          <w:color w:val="231F20"/>
          <w:sz w:val="16"/>
          <w:szCs w:val="16"/>
        </w:rPr>
      </w:pPr>
      <w:r>
        <w:rPr>
          <w:rFonts w:ascii="Arial" w:eastAsia="Arial" w:hAnsi="Arial" w:cs="Arial"/>
          <w:color w:val="231F20"/>
          <w:sz w:val="16"/>
          <w:szCs w:val="16"/>
        </w:rPr>
        <w:t>Riesgo de liquidez. La menor liquidez signif</w:t>
      </w:r>
      <w:r>
        <w:rPr>
          <w:rFonts w:ascii="Arial" w:eastAsia="Arial" w:hAnsi="Arial" w:cs="Arial"/>
          <w:color w:val="231F20"/>
          <w:sz w:val="16"/>
          <w:szCs w:val="16"/>
        </w:rPr>
        <w:t>ica que no hay compradores o vendedores suficientes para permitir que la Caja venda o compre inversiones fácilmente, lo que podría hacer que la Caja incurriera en mayores costos al comprar o vender inversiones o podría significar que la Caja no puede compr</w:t>
      </w:r>
      <w:r>
        <w:rPr>
          <w:rFonts w:ascii="Arial" w:eastAsia="Arial" w:hAnsi="Arial" w:cs="Arial"/>
          <w:color w:val="231F20"/>
          <w:sz w:val="16"/>
          <w:szCs w:val="16"/>
        </w:rPr>
        <w:t>ar o vender inversiones cuando quisiera hacerlo.</w:t>
      </w:r>
    </w:p>
    <w:p w14:paraId="19219836" w14:textId="77777777" w:rsidR="00991C40" w:rsidRDefault="00991C40">
      <w:pPr>
        <w:spacing w:line="3" w:lineRule="exact"/>
        <w:rPr>
          <w:sz w:val="24"/>
          <w:szCs w:val="24"/>
        </w:rPr>
      </w:pPr>
    </w:p>
    <w:p w14:paraId="2536662F" w14:textId="77777777" w:rsidR="00991C40" w:rsidRDefault="00C36143">
      <w:pPr>
        <w:numPr>
          <w:ilvl w:val="0"/>
          <w:numId w:val="12"/>
        </w:numPr>
        <w:tabs>
          <w:tab w:val="left" w:pos="140"/>
        </w:tabs>
        <w:spacing w:line="221" w:lineRule="auto"/>
        <w:ind w:left="140" w:hanging="140"/>
        <w:jc w:val="both"/>
        <w:rPr>
          <w:rFonts w:ascii="Arial" w:eastAsia="Arial" w:hAnsi="Arial" w:cs="Arial"/>
          <w:color w:val="231F20"/>
          <w:sz w:val="16"/>
          <w:szCs w:val="16"/>
        </w:rPr>
      </w:pPr>
      <w:r>
        <w:rPr>
          <w:rFonts w:ascii="Arial" w:eastAsia="Arial" w:hAnsi="Arial" w:cs="Arial"/>
          <w:color w:val="231F20"/>
          <w:sz w:val="16"/>
          <w:szCs w:val="16"/>
        </w:rPr>
        <w:t>Riesgo de seguimiento de índices. No se espera que la Caja haga un seguimiento del rendimiento del Índice en todo momento con una precisión perfecta. Sin embargo, se espera que la Caja proporcione resultado</w:t>
      </w:r>
      <w:r>
        <w:rPr>
          <w:rFonts w:ascii="Arial" w:eastAsia="Arial" w:hAnsi="Arial" w:cs="Arial"/>
          <w:color w:val="231F20"/>
          <w:sz w:val="16"/>
          <w:szCs w:val="16"/>
        </w:rPr>
        <w:t>s de inversión que, antes de los gastos, correspondan generalmente al rendimiento y al precio del Índice.</w:t>
      </w:r>
    </w:p>
    <w:p w14:paraId="296FEF7D" w14:textId="77777777" w:rsidR="00991C40" w:rsidRDefault="00C36143">
      <w:pPr>
        <w:spacing w:line="20" w:lineRule="exact"/>
        <w:rPr>
          <w:sz w:val="24"/>
          <w:szCs w:val="24"/>
        </w:rPr>
      </w:pPr>
      <w:r>
        <w:rPr>
          <w:sz w:val="24"/>
          <w:szCs w:val="24"/>
        </w:rPr>
        <w:br w:type="column"/>
      </w:r>
    </w:p>
    <w:p w14:paraId="7194DBDC" w14:textId="77777777" w:rsidR="00991C40" w:rsidRDefault="00991C40">
      <w:pPr>
        <w:spacing w:line="200" w:lineRule="exact"/>
        <w:rPr>
          <w:sz w:val="24"/>
          <w:szCs w:val="24"/>
        </w:rPr>
      </w:pPr>
    </w:p>
    <w:p w14:paraId="769D0D3C" w14:textId="77777777" w:rsidR="00991C40" w:rsidRDefault="00991C40">
      <w:pPr>
        <w:spacing w:line="358" w:lineRule="exact"/>
        <w:rPr>
          <w:sz w:val="24"/>
          <w:szCs w:val="24"/>
        </w:rPr>
      </w:pPr>
    </w:p>
    <w:p w14:paraId="4E96B9E2" w14:textId="77777777" w:rsidR="00991C40" w:rsidRDefault="00C36143">
      <w:pPr>
        <w:spacing w:line="227" w:lineRule="auto"/>
        <w:ind w:left="140" w:hanging="139"/>
        <w:jc w:val="both"/>
        <w:rPr>
          <w:sz w:val="20"/>
          <w:szCs w:val="20"/>
        </w:rPr>
      </w:pPr>
      <w:r>
        <w:rPr>
          <w:rFonts w:ascii="Arial" w:eastAsia="Arial" w:hAnsi="Arial" w:cs="Arial"/>
          <w:color w:val="231F20"/>
          <w:sz w:val="16"/>
          <w:szCs w:val="16"/>
        </w:rPr>
        <w:t>2 Índice de riesgo de muestreo. Dado que la Caja utiliza una técnica de muestreo de índices mediante la cual se selecciona una muestra representat</w:t>
      </w:r>
      <w:r>
        <w:rPr>
          <w:rFonts w:ascii="Arial" w:eastAsia="Arial" w:hAnsi="Arial" w:cs="Arial"/>
          <w:color w:val="231F20"/>
          <w:sz w:val="16"/>
          <w:szCs w:val="16"/>
        </w:rPr>
        <w:t>iva de valores para representar el Índice, existe el riesgo de que los valores seleccionados para la Caja no se aproximen, en conjunto, al Índice completo.</w:t>
      </w:r>
    </w:p>
    <w:p w14:paraId="65F28CD5" w14:textId="77777777" w:rsidR="00991C40" w:rsidRDefault="00C36143">
      <w:pPr>
        <w:spacing w:line="272" w:lineRule="auto"/>
        <w:jc w:val="both"/>
        <w:rPr>
          <w:sz w:val="20"/>
          <w:szCs w:val="20"/>
        </w:rPr>
      </w:pPr>
      <w:r>
        <w:rPr>
          <w:rFonts w:ascii="Arial" w:eastAsia="Arial" w:hAnsi="Arial" w:cs="Arial"/>
          <w:b/>
          <w:bCs/>
          <w:color w:val="231F20"/>
          <w:sz w:val="15"/>
          <w:szCs w:val="15"/>
        </w:rPr>
        <w:t>Para obtener más información sobre los riesgos, consulte la sección “Risk Factors” (Factores de ries</w:t>
      </w:r>
      <w:r>
        <w:rPr>
          <w:rFonts w:ascii="Arial" w:eastAsia="Arial" w:hAnsi="Arial" w:cs="Arial"/>
          <w:b/>
          <w:bCs/>
          <w:color w:val="231F20"/>
          <w:sz w:val="15"/>
          <w:szCs w:val="15"/>
        </w:rPr>
        <w:t>go) del folleto en nuestro sitio web en</w:t>
      </w:r>
      <w:r>
        <w:rPr>
          <w:rFonts w:ascii="Arial" w:eastAsia="Arial" w:hAnsi="Arial" w:cs="Arial"/>
          <w:color w:val="231F20"/>
          <w:sz w:val="15"/>
          <w:szCs w:val="15"/>
        </w:rPr>
        <w:t xml:space="preserve"> https://global.vanguard.com</w:t>
      </w:r>
    </w:p>
    <w:p w14:paraId="54CD245A" w14:textId="77777777" w:rsidR="00991C40" w:rsidRDefault="00991C40">
      <w:pPr>
        <w:sectPr w:rsidR="00991C40">
          <w:type w:val="continuous"/>
          <w:pgSz w:w="11900" w:h="16843"/>
          <w:pgMar w:top="969" w:right="700" w:bottom="0" w:left="560" w:header="0" w:footer="0" w:gutter="0"/>
          <w:cols w:num="2" w:space="720" w:equalWidth="0">
            <w:col w:w="5200" w:space="240"/>
            <w:col w:w="5200"/>
          </w:cols>
        </w:sectPr>
      </w:pPr>
    </w:p>
    <w:p w14:paraId="50921278" w14:textId="77777777" w:rsidR="00991C40" w:rsidRDefault="00C36143">
      <w:pPr>
        <w:spacing w:line="100" w:lineRule="exact"/>
        <w:rPr>
          <w:sz w:val="20"/>
          <w:szCs w:val="20"/>
        </w:rPr>
      </w:pPr>
      <w:bookmarkStart w:id="1" w:name="page2"/>
      <w:bookmarkEnd w:id="1"/>
      <w:r>
        <w:rPr>
          <w:noProof/>
          <w:sz w:val="20"/>
          <w:szCs w:val="20"/>
        </w:rPr>
        <mc:AlternateContent>
          <mc:Choice Requires="wps">
            <w:drawing>
              <wp:anchor distT="0" distB="0" distL="114300" distR="114300" simplePos="0" relativeHeight="251656704" behindDoc="1" locked="0" layoutInCell="0" allowOverlap="1" wp14:anchorId="5669D386" wp14:editId="07777777">
                <wp:simplePos x="0" y="0"/>
                <wp:positionH relativeFrom="page">
                  <wp:posOffset>355600</wp:posOffset>
                </wp:positionH>
                <wp:positionV relativeFrom="page">
                  <wp:posOffset>254000</wp:posOffset>
                </wp:positionV>
                <wp:extent cx="6845300" cy="0"/>
                <wp:effectExtent l="0" t="0" r="0" b="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w14:anchorId="4C775416" id="Shape 7" o:spid="_x0000_s1026" style="position:absolute;z-index:-251659776;visibility:visible;mso-wrap-style:square;mso-wrap-distance-left:9pt;mso-wrap-distance-top:0;mso-wrap-distance-right:9pt;mso-wrap-distance-bottom:0;mso-position-horizontal:absolute;mso-position-horizontal-relative:page;mso-position-vertical:absolute;mso-position-vertical-relative:page" from="28pt,20pt" to="567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" o:allowincell="f" filled="t" strokecolor="#231f20" strokeweight=".4pt">
                <v:stroke joinstyle="miter"/>
                <o:lock v:ext="edit" shapetype="f"/>
                <w10:wrap anchorx="page" anchory="page"/>
              </v:line>
            </w:pict>
          </mc:Fallback>
        </mc:AlternateContent>
      </w:r>
    </w:p>
    <w:p w14:paraId="07F2E33D" w14:textId="77777777" w:rsidR="00991C40" w:rsidRDefault="00C36143">
      <w:pPr>
        <w:ind w:left="19"/>
        <w:rPr>
          <w:sz w:val="20"/>
          <w:szCs w:val="20"/>
        </w:rPr>
      </w:pPr>
      <w:r>
        <w:rPr>
          <w:rFonts w:ascii="Arial" w:eastAsia="Arial" w:hAnsi="Arial" w:cs="Arial"/>
          <w:color w:val="231F20"/>
          <w:sz w:val="24"/>
          <w:szCs w:val="24"/>
        </w:rPr>
        <w:t>Cargos</w:t>
      </w:r>
    </w:p>
    <w:p w14:paraId="1231BE67" w14:textId="77777777" w:rsidR="00991C40" w:rsidRDefault="00991C40">
      <w:pPr>
        <w:spacing w:line="138" w:lineRule="exact"/>
        <w:rPr>
          <w:sz w:val="20"/>
          <w:szCs w:val="20"/>
        </w:rPr>
      </w:pPr>
    </w:p>
    <w:p w14:paraId="27297286" w14:textId="77777777" w:rsidR="00991C40" w:rsidRDefault="00C36143">
      <w:pPr>
        <w:ind w:left="19"/>
        <w:rPr>
          <w:sz w:val="20"/>
          <w:szCs w:val="20"/>
        </w:rPr>
      </w:pPr>
      <w:r>
        <w:rPr>
          <w:rFonts w:ascii="Arial" w:eastAsia="Arial" w:hAnsi="Arial" w:cs="Arial"/>
          <w:color w:val="231F20"/>
          <w:sz w:val="16"/>
          <w:szCs w:val="16"/>
        </w:rPr>
        <w:t>Los cargos que usted paga se utilizan para pagar los costos de administración del Fondo, incluidos los costos de comercialización y distribución. Estos cargos reducen el crecimiento potencial de su inversión.</w:t>
      </w:r>
    </w:p>
    <w:p w14:paraId="36FEB5B0" w14:textId="77777777" w:rsidR="00991C40" w:rsidRDefault="00991C40">
      <w:pPr>
        <w:sectPr w:rsidR="00991C40">
          <w:pgSz w:w="11900" w:h="16940"/>
          <w:pgMar w:top="477" w:right="560" w:bottom="0" w:left="541" w:header="0" w:footer="0" w:gutter="0"/>
          <w:cols w:space="720" w:equalWidth="0">
            <w:col w:w="10799"/>
          </w:cols>
        </w:sectPr>
      </w:pPr>
    </w:p>
    <w:p w14:paraId="30D7AA69" w14:textId="77777777" w:rsidR="00991C40" w:rsidRDefault="00991C40">
      <w:pPr>
        <w:spacing w:line="75" w:lineRule="exact"/>
        <w:rPr>
          <w:sz w:val="20"/>
          <w:szCs w:val="20"/>
        </w:rPr>
      </w:pPr>
    </w:p>
    <w:p w14:paraId="732322CC" w14:textId="77777777" w:rsidR="00991C40" w:rsidRDefault="00C36143">
      <w:pPr>
        <w:ind w:left="59"/>
        <w:rPr>
          <w:sz w:val="20"/>
          <w:szCs w:val="20"/>
        </w:rPr>
      </w:pPr>
      <w:r>
        <w:rPr>
          <w:rFonts w:ascii="Arial" w:eastAsia="Arial" w:hAnsi="Arial" w:cs="Arial"/>
          <w:color w:val="231F20"/>
          <w:sz w:val="16"/>
          <w:szCs w:val="16"/>
        </w:rPr>
        <w:t>Cargos únicos cobrados a</w:t>
      </w:r>
      <w:r>
        <w:rPr>
          <w:rFonts w:ascii="Arial" w:eastAsia="Arial" w:hAnsi="Arial" w:cs="Arial"/>
          <w:color w:val="231F20"/>
          <w:sz w:val="16"/>
          <w:szCs w:val="16"/>
        </w:rPr>
        <w:t>ntes o después de la inversión</w:t>
      </w:r>
    </w:p>
    <w:p w14:paraId="660DF93D" w14:textId="77777777" w:rsidR="00991C40" w:rsidRDefault="00C36143">
      <w:pPr>
        <w:spacing w:line="20" w:lineRule="exact"/>
        <w:rPr>
          <w:sz w:val="20"/>
          <w:szCs w:val="20"/>
        </w:rPr>
      </w:pPr>
      <w:r>
        <w:rPr>
          <w:noProof/>
          <w:sz w:val="20"/>
          <w:szCs w:val="20"/>
        </w:rPr>
        <mc:AlternateContent>
          <mc:Choice Requires="wps">
            <w:drawing>
              <wp:anchor distT="0" distB="0" distL="114300" distR="114300" simplePos="0" relativeHeight="251657728" behindDoc="1" locked="0" layoutInCell="0" allowOverlap="1" wp14:anchorId="22BA1FD8" wp14:editId="07777777">
                <wp:simplePos x="0" y="0"/>
                <wp:positionH relativeFrom="column">
                  <wp:posOffset>11430</wp:posOffset>
                </wp:positionH>
                <wp:positionV relativeFrom="paragraph">
                  <wp:posOffset>-128270</wp:posOffset>
                </wp:positionV>
                <wp:extent cx="3302000" cy="0"/>
                <wp:effectExtent l="0" t="0" r="0" b="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w14:anchorId="573EFBE7" id="Shape 8"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9pt,-10.1pt" to="260.9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" o:allowincell="f" filled="t" strokeweight=".4pt">
                <v:stroke joinstyle="miter"/>
                <o:lock v:ext="edit" shapetype="f"/>
              </v:line>
            </w:pict>
          </mc:Fallback>
        </mc:AlternateContent>
      </w:r>
      <w:r>
        <w:rPr>
          <w:noProof/>
          <w:sz w:val="20"/>
          <w:szCs w:val="20"/>
        </w:rPr>
        <mc:AlternateContent>
          <mc:Choice Requires="wps">
            <w:drawing>
              <wp:anchor distT="0" distB="0" distL="114300" distR="114300" simplePos="0" relativeHeight="251658752" behindDoc="1" locked="0" layoutInCell="0" allowOverlap="1" wp14:anchorId="07BF586A" wp14:editId="07777777">
                <wp:simplePos x="0" y="0"/>
                <wp:positionH relativeFrom="column">
                  <wp:posOffset>11430</wp:posOffset>
                </wp:positionH>
                <wp:positionV relativeFrom="paragraph">
                  <wp:posOffset>23495</wp:posOffset>
                </wp:positionV>
                <wp:extent cx="3302000" cy="0"/>
                <wp:effectExtent l="0" t="0" r="0" b="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w14:anchorId="0A768507" id="Shape 9" o:spid="_x0000_s1026" style="position:absolute;z-index:-251657728;visibility:visible;mso-wrap-style:square;mso-wrap-distance-left:9pt;mso-wrap-distance-top:0;mso-wrap-distance-right:9pt;mso-wrap-distance-bottom:0;mso-position-horizontal:absolute;mso-position-horizontal-relative:text;mso-position-vertical:absolute;mso-position-vertical-relative:text" from=".9pt,1.85pt" to="260.9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" o:allowincell="f" filled="t" strokeweight=".4pt">
                <v:stroke joinstyle="miter"/>
                <o:lock v:ext="edit" shapetype="f"/>
              </v:line>
            </w:pict>
          </mc:Fallback>
        </mc:AlternateContent>
      </w:r>
    </w:p>
    <w:p w14:paraId="7196D064" w14:textId="77777777" w:rsidR="00991C40" w:rsidRDefault="00991C40">
      <w:pPr>
        <w:spacing w:line="33" w:lineRule="exact"/>
        <w:rPr>
          <w:sz w:val="20"/>
          <w:szCs w:val="20"/>
        </w:rPr>
      </w:pPr>
    </w:p>
    <w:tbl>
      <w:tblPr>
        <w:tblW w:w="0" w:type="auto"/>
        <w:tblInd w:w="19" w:type="dxa"/>
        <w:tblLayout w:type="fixed"/>
        <w:tblCellMar>
          <w:left w:w="0" w:type="dxa"/>
          <w:right w:w="0" w:type="dxa"/>
        </w:tblCellMar>
        <w:tblLook w:val="04A0" w:firstRow="1" w:lastRow="0" w:firstColumn="1" w:lastColumn="0" w:noHBand="0" w:noVBand="1"/>
      </w:tblPr>
      <w:tblGrid>
        <w:gridCol w:w="2980"/>
        <w:gridCol w:w="2240"/>
      </w:tblGrid>
      <w:tr w:rsidR="00991C40" w14:paraId="0B6ABCCE" w14:textId="77777777">
        <w:trPr>
          <w:trHeight w:val="225"/>
        </w:trPr>
        <w:tc>
          <w:tcPr>
            <w:tcW w:w="2980" w:type="dxa"/>
            <w:tcBorders>
              <w:bottom w:val="single" w:sz="8" w:space="0" w:color="auto"/>
            </w:tcBorders>
            <w:vAlign w:val="bottom"/>
          </w:tcPr>
          <w:p w14:paraId="15254774" w14:textId="77777777" w:rsidR="00991C40" w:rsidRDefault="00C36143">
            <w:pPr>
              <w:ind w:left="220"/>
              <w:rPr>
                <w:sz w:val="20"/>
                <w:szCs w:val="20"/>
              </w:rPr>
            </w:pPr>
            <w:r>
              <w:rPr>
                <w:rFonts w:ascii="Arial" w:eastAsia="Arial" w:hAnsi="Arial" w:cs="Arial"/>
                <w:color w:val="231F20"/>
                <w:sz w:val="16"/>
                <w:szCs w:val="16"/>
              </w:rPr>
              <w:t>Precio de entrada*</w:t>
            </w:r>
          </w:p>
        </w:tc>
        <w:tc>
          <w:tcPr>
            <w:tcW w:w="2240" w:type="dxa"/>
            <w:tcBorders>
              <w:bottom w:val="single" w:sz="8" w:space="0" w:color="auto"/>
            </w:tcBorders>
            <w:vAlign w:val="bottom"/>
          </w:tcPr>
          <w:p w14:paraId="1384E6F8" w14:textId="77777777" w:rsidR="00991C40" w:rsidRDefault="00C36143">
            <w:pPr>
              <w:ind w:left="1800"/>
              <w:rPr>
                <w:sz w:val="20"/>
                <w:szCs w:val="20"/>
              </w:rPr>
            </w:pPr>
            <w:r>
              <w:rPr>
                <w:rFonts w:ascii="Arial" w:eastAsia="Arial" w:hAnsi="Arial" w:cs="Arial"/>
                <w:color w:val="231F20"/>
                <w:sz w:val="16"/>
                <w:szCs w:val="16"/>
              </w:rPr>
              <w:t>Ninguna</w:t>
            </w:r>
          </w:p>
        </w:tc>
      </w:tr>
      <w:tr w:rsidR="00991C40" w14:paraId="46BA75CE" w14:textId="77777777">
        <w:trPr>
          <w:trHeight w:val="225"/>
        </w:trPr>
        <w:tc>
          <w:tcPr>
            <w:tcW w:w="2980" w:type="dxa"/>
            <w:vAlign w:val="bottom"/>
          </w:tcPr>
          <w:p w14:paraId="26AF5D5E" w14:textId="77777777" w:rsidR="00991C40" w:rsidRDefault="00C36143">
            <w:pPr>
              <w:ind w:left="220"/>
              <w:rPr>
                <w:sz w:val="20"/>
                <w:szCs w:val="20"/>
              </w:rPr>
            </w:pPr>
            <w:r>
              <w:rPr>
                <w:rFonts w:ascii="Arial" w:eastAsia="Arial" w:hAnsi="Arial" w:cs="Arial"/>
                <w:color w:val="231F20"/>
                <w:sz w:val="16"/>
                <w:szCs w:val="16"/>
              </w:rPr>
              <w:t>Carga de salida*</w:t>
            </w:r>
          </w:p>
        </w:tc>
        <w:tc>
          <w:tcPr>
            <w:tcW w:w="2240" w:type="dxa"/>
            <w:vAlign w:val="bottom"/>
          </w:tcPr>
          <w:p w14:paraId="12F708FD" w14:textId="77777777" w:rsidR="00991C40" w:rsidRDefault="00C36143">
            <w:pPr>
              <w:ind w:left="1800"/>
              <w:rPr>
                <w:sz w:val="20"/>
                <w:szCs w:val="20"/>
              </w:rPr>
            </w:pPr>
            <w:r>
              <w:rPr>
                <w:rFonts w:ascii="Arial" w:eastAsia="Arial" w:hAnsi="Arial" w:cs="Arial"/>
                <w:color w:val="231F20"/>
                <w:sz w:val="16"/>
                <w:szCs w:val="16"/>
              </w:rPr>
              <w:t>Ninguna</w:t>
            </w:r>
          </w:p>
        </w:tc>
      </w:tr>
    </w:tbl>
    <w:p w14:paraId="0BDE2308" w14:textId="77777777" w:rsidR="00991C40" w:rsidRDefault="00C36143">
      <w:pPr>
        <w:spacing w:line="20" w:lineRule="exact"/>
        <w:rPr>
          <w:sz w:val="20"/>
          <w:szCs w:val="20"/>
        </w:rPr>
      </w:pPr>
      <w:r>
        <w:rPr>
          <w:noProof/>
          <w:sz w:val="20"/>
          <w:szCs w:val="20"/>
        </w:rPr>
        <mc:AlternateContent>
          <mc:Choice Requires="wps">
            <w:drawing>
              <wp:anchor distT="0" distB="0" distL="114300" distR="114300" simplePos="0" relativeHeight="251659776" behindDoc="1" locked="0" layoutInCell="0" allowOverlap="1" wp14:anchorId="7DE66642" wp14:editId="07777777">
                <wp:simplePos x="0" y="0"/>
                <wp:positionH relativeFrom="column">
                  <wp:posOffset>11430</wp:posOffset>
                </wp:positionH>
                <wp:positionV relativeFrom="paragraph">
                  <wp:posOffset>13335</wp:posOffset>
                </wp:positionV>
                <wp:extent cx="3302000" cy="0"/>
                <wp:effectExtent l="0" t="0" r="0" b="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w14:anchorId="3F011BF7" id="Shape 10" o:spid="_x0000_s1026" style="position:absolute;z-index:-251656704;visibility:visible;mso-wrap-style:square;mso-wrap-distance-left:9pt;mso-wrap-distance-top:0;mso-wrap-distance-right:9pt;mso-wrap-distance-bottom:0;mso-position-horizontal:absolute;mso-position-horizontal-relative:text;mso-position-vertical:absolute;mso-position-vertical-relative:text" from=".9pt,1.05pt" to="260.9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" o:allowincell="f" filled="t" strokeweight=".4pt">
                <v:stroke joinstyle="miter"/>
                <o:lock v:ext="edit" shapetype="f"/>
              </v:line>
            </w:pict>
          </mc:Fallback>
        </mc:AlternateContent>
      </w:r>
    </w:p>
    <w:p w14:paraId="34FF1C98" w14:textId="77777777" w:rsidR="00991C40" w:rsidRDefault="00991C40">
      <w:pPr>
        <w:spacing w:line="17" w:lineRule="exact"/>
        <w:rPr>
          <w:sz w:val="20"/>
          <w:szCs w:val="20"/>
        </w:rPr>
      </w:pPr>
    </w:p>
    <w:p w14:paraId="3E8EDCB1" w14:textId="77777777" w:rsidR="00991C40" w:rsidRDefault="00C36143">
      <w:pPr>
        <w:spacing w:line="251" w:lineRule="auto"/>
        <w:ind w:left="59" w:right="40"/>
        <w:jc w:val="both"/>
        <w:rPr>
          <w:sz w:val="20"/>
          <w:szCs w:val="20"/>
        </w:rPr>
      </w:pPr>
      <w:r>
        <w:rPr>
          <w:rFonts w:ascii="Arial" w:eastAsia="Arial" w:hAnsi="Arial" w:cs="Arial"/>
          <w:color w:val="231F20"/>
          <w:sz w:val="16"/>
          <w:szCs w:val="16"/>
        </w:rPr>
        <w:t>Este es el máximo que se puede sacar de su dinero antes de que se invierta / antes de que se paguen los ingresos de su inversión.</w:t>
      </w:r>
    </w:p>
    <w:p w14:paraId="7DD62675" w14:textId="77777777" w:rsidR="00991C40" w:rsidRDefault="00C36143">
      <w:pPr>
        <w:spacing w:line="20" w:lineRule="exact"/>
        <w:rPr>
          <w:sz w:val="20"/>
          <w:szCs w:val="20"/>
        </w:rPr>
      </w:pPr>
      <w:r>
        <w:rPr>
          <w:noProof/>
          <w:sz w:val="20"/>
          <w:szCs w:val="20"/>
        </w:rPr>
        <mc:AlternateContent>
          <mc:Choice Requires="wps">
            <w:drawing>
              <wp:anchor distT="0" distB="0" distL="114300" distR="114300" simplePos="0" relativeHeight="251660800" behindDoc="1" locked="0" layoutInCell="0" allowOverlap="1" wp14:anchorId="6B292DB9" wp14:editId="07777777">
                <wp:simplePos x="0" y="0"/>
                <wp:positionH relativeFrom="column">
                  <wp:posOffset>11430</wp:posOffset>
                </wp:positionH>
                <wp:positionV relativeFrom="paragraph">
                  <wp:posOffset>-3810</wp:posOffset>
                </wp:positionV>
                <wp:extent cx="3302000" cy="0"/>
                <wp:effectExtent l="0" t="0" r="0" b="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w14:anchorId="5AFDE23B" id="Shape 11" o:spid="_x0000_s1026" style="position:absolute;z-index:-251655680;visibility:visible;mso-wrap-style:square;mso-wrap-distance-left:9pt;mso-wrap-distance-top:0;mso-wrap-distance-right:9pt;mso-wrap-distance-bottom:0;mso-position-horizontal:absolute;mso-position-horizontal-relative:text;mso-position-vertical:absolute;mso-position-vertical-relative:text" from=".9pt,-.3pt" to="260.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" o:allowincell="f" filled="t" strokeweight=".4pt">
                <v:stroke joinstyle="miter"/>
                <o:lock v:ext="edit" shapetype="f"/>
              </v:line>
            </w:pict>
          </mc:Fallback>
        </mc:AlternateContent>
      </w:r>
    </w:p>
    <w:p w14:paraId="47E7AEBC" w14:textId="77777777" w:rsidR="00991C40" w:rsidRDefault="00C36143">
      <w:pPr>
        <w:ind w:left="59"/>
        <w:rPr>
          <w:sz w:val="20"/>
          <w:szCs w:val="20"/>
        </w:rPr>
      </w:pPr>
      <w:r>
        <w:rPr>
          <w:rFonts w:ascii="Arial" w:eastAsia="Arial" w:hAnsi="Arial" w:cs="Arial"/>
          <w:color w:val="231F20"/>
          <w:sz w:val="16"/>
          <w:szCs w:val="16"/>
        </w:rPr>
        <w:t>Cargos retirados del Fondo durante un año</w:t>
      </w:r>
    </w:p>
    <w:p w14:paraId="1936A434" w14:textId="77777777" w:rsidR="00991C40" w:rsidRDefault="00C36143">
      <w:pPr>
        <w:spacing w:line="20" w:lineRule="exact"/>
        <w:rPr>
          <w:sz w:val="20"/>
          <w:szCs w:val="20"/>
        </w:rPr>
      </w:pPr>
      <w:r>
        <w:rPr>
          <w:noProof/>
          <w:sz w:val="20"/>
          <w:szCs w:val="20"/>
        </w:rPr>
        <mc:AlternateContent>
          <mc:Choice Requires="wps">
            <w:drawing>
              <wp:anchor distT="0" distB="0" distL="114300" distR="114300" simplePos="0" relativeHeight="251661824" behindDoc="1" locked="0" layoutInCell="0" allowOverlap="1" wp14:anchorId="6DBBD0D6" wp14:editId="07777777">
                <wp:simplePos x="0" y="0"/>
                <wp:positionH relativeFrom="column">
                  <wp:posOffset>11430</wp:posOffset>
                </wp:positionH>
                <wp:positionV relativeFrom="paragraph">
                  <wp:posOffset>23495</wp:posOffset>
                </wp:positionV>
                <wp:extent cx="3302000" cy="0"/>
                <wp:effectExtent l="0" t="0" r="0" b="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w14:anchorId="0B6F4E9A" id="Shape 12" o:spid="_x0000_s1026" style="position:absolute;z-index:-251654656;visibility:visible;mso-wrap-style:square;mso-wrap-distance-left:9pt;mso-wrap-distance-top:0;mso-wrap-distance-right:9pt;mso-wrap-distance-bottom:0;mso-position-horizontal:absolute;mso-position-horizontal-relative:text;mso-position-vertical:absolute;mso-position-vertical-relative:text" from=".9pt,1.85pt" to="260.9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" o:allowincell="f" filled="t" strokeweight=".4pt">
                <v:stroke joinstyle="miter"/>
                <o:lock v:ext="edit" shapetype="f"/>
              </v:line>
            </w:pict>
          </mc:Fallback>
        </mc:AlternateContent>
      </w:r>
    </w:p>
    <w:p w14:paraId="6D072C0D" w14:textId="77777777" w:rsidR="00991C40" w:rsidRDefault="00991C40">
      <w:pPr>
        <w:spacing w:line="33" w:lineRule="exact"/>
        <w:rPr>
          <w:sz w:val="20"/>
          <w:szCs w:val="20"/>
        </w:rPr>
      </w:pPr>
    </w:p>
    <w:tbl>
      <w:tblPr>
        <w:tblW w:w="0" w:type="auto"/>
        <w:tblInd w:w="19" w:type="dxa"/>
        <w:tblLayout w:type="fixed"/>
        <w:tblCellMar>
          <w:left w:w="0" w:type="dxa"/>
          <w:right w:w="0" w:type="dxa"/>
        </w:tblCellMar>
        <w:tblLook w:val="04A0" w:firstRow="1" w:lastRow="0" w:firstColumn="1" w:lastColumn="0" w:noHBand="0" w:noVBand="1"/>
      </w:tblPr>
      <w:tblGrid>
        <w:gridCol w:w="4580"/>
        <w:gridCol w:w="640"/>
      </w:tblGrid>
      <w:tr w:rsidR="00991C40" w14:paraId="4779437F" w14:textId="77777777">
        <w:trPr>
          <w:trHeight w:val="224"/>
        </w:trPr>
        <w:tc>
          <w:tcPr>
            <w:tcW w:w="4580" w:type="dxa"/>
            <w:tcBorders>
              <w:bottom w:val="single" w:sz="8" w:space="0" w:color="auto"/>
            </w:tcBorders>
            <w:vAlign w:val="bottom"/>
          </w:tcPr>
          <w:p w14:paraId="2820F4C7" w14:textId="77777777" w:rsidR="00991C40" w:rsidRDefault="00C36143">
            <w:pPr>
              <w:ind w:left="220"/>
              <w:rPr>
                <w:sz w:val="20"/>
                <w:szCs w:val="20"/>
              </w:rPr>
            </w:pPr>
            <w:r>
              <w:rPr>
                <w:rFonts w:ascii="Arial" w:eastAsia="Arial" w:hAnsi="Arial" w:cs="Arial"/>
                <w:color w:val="231F20"/>
                <w:sz w:val="16"/>
                <w:szCs w:val="16"/>
              </w:rPr>
              <w:t>Cargos en curso</w:t>
            </w:r>
          </w:p>
        </w:tc>
        <w:tc>
          <w:tcPr>
            <w:tcW w:w="640" w:type="dxa"/>
            <w:tcBorders>
              <w:bottom w:val="single" w:sz="8" w:space="0" w:color="auto"/>
            </w:tcBorders>
            <w:vAlign w:val="bottom"/>
          </w:tcPr>
          <w:p w14:paraId="3EAA3781" w14:textId="77777777" w:rsidR="00991C40" w:rsidRDefault="00C36143">
            <w:pPr>
              <w:jc w:val="right"/>
              <w:rPr>
                <w:sz w:val="20"/>
                <w:szCs w:val="20"/>
              </w:rPr>
            </w:pPr>
            <w:r>
              <w:rPr>
                <w:rFonts w:ascii="Arial" w:eastAsia="Arial" w:hAnsi="Arial" w:cs="Arial"/>
                <w:color w:val="231F20"/>
                <w:sz w:val="16"/>
                <w:szCs w:val="16"/>
              </w:rPr>
              <w:t>0,22 %</w:t>
            </w:r>
          </w:p>
        </w:tc>
      </w:tr>
      <w:tr w:rsidR="00991C40" w14:paraId="1A7FCE83" w14:textId="77777777">
        <w:trPr>
          <w:trHeight w:val="229"/>
        </w:trPr>
        <w:tc>
          <w:tcPr>
            <w:tcW w:w="4580" w:type="dxa"/>
            <w:tcBorders>
              <w:bottom w:val="single" w:sz="8" w:space="0" w:color="auto"/>
            </w:tcBorders>
            <w:vAlign w:val="bottom"/>
          </w:tcPr>
          <w:p w14:paraId="2DEAAA2C" w14:textId="77777777" w:rsidR="00991C40" w:rsidRDefault="00C36143">
            <w:pPr>
              <w:ind w:left="40"/>
              <w:rPr>
                <w:sz w:val="20"/>
                <w:szCs w:val="20"/>
              </w:rPr>
            </w:pPr>
            <w:r>
              <w:rPr>
                <w:rFonts w:ascii="Arial" w:eastAsia="Arial" w:hAnsi="Arial" w:cs="Arial"/>
                <w:color w:val="231F20"/>
                <w:sz w:val="16"/>
                <w:szCs w:val="16"/>
              </w:rPr>
              <w:t>Cargos procedentes del Fondo en determinadas condicione</w:t>
            </w:r>
            <w:r>
              <w:rPr>
                <w:rFonts w:ascii="Arial" w:eastAsia="Arial" w:hAnsi="Arial" w:cs="Arial"/>
                <w:color w:val="231F20"/>
                <w:sz w:val="16"/>
                <w:szCs w:val="16"/>
              </w:rPr>
              <w:t>s específicas</w:t>
            </w:r>
          </w:p>
        </w:tc>
        <w:tc>
          <w:tcPr>
            <w:tcW w:w="640" w:type="dxa"/>
            <w:tcBorders>
              <w:bottom w:val="single" w:sz="8" w:space="0" w:color="auto"/>
            </w:tcBorders>
            <w:vAlign w:val="bottom"/>
          </w:tcPr>
          <w:p w14:paraId="48A21919" w14:textId="77777777" w:rsidR="00991C40" w:rsidRDefault="00991C40">
            <w:pPr>
              <w:rPr>
                <w:sz w:val="19"/>
                <w:szCs w:val="19"/>
              </w:rPr>
            </w:pPr>
          </w:p>
        </w:tc>
      </w:tr>
      <w:tr w:rsidR="00991C40" w14:paraId="46AAFBFC" w14:textId="77777777">
        <w:trPr>
          <w:trHeight w:val="214"/>
        </w:trPr>
        <w:tc>
          <w:tcPr>
            <w:tcW w:w="4580" w:type="dxa"/>
            <w:tcBorders>
              <w:bottom w:val="single" w:sz="8" w:space="0" w:color="auto"/>
            </w:tcBorders>
            <w:vAlign w:val="bottom"/>
          </w:tcPr>
          <w:p w14:paraId="4B009001" w14:textId="77777777" w:rsidR="00991C40" w:rsidRDefault="00C36143">
            <w:pPr>
              <w:ind w:left="220"/>
              <w:rPr>
                <w:sz w:val="20"/>
                <w:szCs w:val="20"/>
              </w:rPr>
            </w:pPr>
            <w:r>
              <w:rPr>
                <w:rFonts w:ascii="Arial" w:eastAsia="Arial" w:hAnsi="Arial" w:cs="Arial"/>
                <w:color w:val="231F20"/>
                <w:sz w:val="16"/>
                <w:szCs w:val="16"/>
              </w:rPr>
              <w:t>Cuota de rendimiento</w:t>
            </w:r>
          </w:p>
        </w:tc>
        <w:tc>
          <w:tcPr>
            <w:tcW w:w="640" w:type="dxa"/>
            <w:tcBorders>
              <w:bottom w:val="single" w:sz="8" w:space="0" w:color="auto"/>
            </w:tcBorders>
            <w:vAlign w:val="bottom"/>
          </w:tcPr>
          <w:p w14:paraId="12B31CC7" w14:textId="77777777" w:rsidR="00991C40" w:rsidRDefault="00C36143">
            <w:pPr>
              <w:jc w:val="right"/>
              <w:rPr>
                <w:sz w:val="20"/>
                <w:szCs w:val="20"/>
              </w:rPr>
            </w:pPr>
            <w:r>
              <w:rPr>
                <w:rFonts w:ascii="Arial" w:eastAsia="Arial" w:hAnsi="Arial" w:cs="Arial"/>
                <w:color w:val="231F20"/>
                <w:sz w:val="16"/>
                <w:szCs w:val="16"/>
              </w:rPr>
              <w:t>Ninguna</w:t>
            </w:r>
          </w:p>
        </w:tc>
      </w:tr>
    </w:tbl>
    <w:p w14:paraId="6BD18F9B" w14:textId="77777777" w:rsidR="00991C40" w:rsidRDefault="00C36143">
      <w:pPr>
        <w:spacing w:line="20" w:lineRule="exact"/>
        <w:rPr>
          <w:sz w:val="20"/>
          <w:szCs w:val="20"/>
        </w:rPr>
      </w:pPr>
      <w:r>
        <w:rPr>
          <w:sz w:val="20"/>
          <w:szCs w:val="20"/>
        </w:rPr>
        <w:br w:type="column"/>
      </w:r>
    </w:p>
    <w:p w14:paraId="7274DE02" w14:textId="77777777" w:rsidR="00991C40" w:rsidRDefault="00C36143">
      <w:pPr>
        <w:spacing w:line="211" w:lineRule="auto"/>
        <w:jc w:val="both"/>
        <w:rPr>
          <w:sz w:val="20"/>
          <w:szCs w:val="20"/>
        </w:rPr>
      </w:pPr>
      <w:r>
        <w:rPr>
          <w:rFonts w:ascii="Arial" w:eastAsia="Arial" w:hAnsi="Arial" w:cs="Arial"/>
          <w:color w:val="231F20"/>
          <w:sz w:val="16"/>
          <w:szCs w:val="16"/>
        </w:rPr>
        <w:t>Los inversores que no son Participantes Autorizados ("APs") pueden tener que pagar comisiones a un corredor de bolsa cuando usted compra o vende en bolsa(s). Las tarifas están disponibles directamente en su corredor de bolsa y no se cobran ni se pagan al F</w:t>
      </w:r>
      <w:r>
        <w:rPr>
          <w:rFonts w:ascii="Arial" w:eastAsia="Arial" w:hAnsi="Arial" w:cs="Arial"/>
          <w:color w:val="231F20"/>
          <w:sz w:val="16"/>
          <w:szCs w:val="16"/>
        </w:rPr>
        <w:t>ondo.</w:t>
      </w:r>
    </w:p>
    <w:p w14:paraId="238601FE" w14:textId="77777777" w:rsidR="00991C40" w:rsidRDefault="00991C40">
      <w:pPr>
        <w:spacing w:line="1" w:lineRule="exact"/>
        <w:rPr>
          <w:sz w:val="20"/>
          <w:szCs w:val="20"/>
        </w:rPr>
      </w:pPr>
    </w:p>
    <w:p w14:paraId="7C39C39E" w14:textId="77777777" w:rsidR="00991C40" w:rsidRDefault="00C36143">
      <w:pPr>
        <w:spacing w:line="226" w:lineRule="auto"/>
        <w:jc w:val="both"/>
        <w:rPr>
          <w:sz w:val="20"/>
          <w:szCs w:val="20"/>
        </w:rPr>
      </w:pPr>
      <w:r>
        <w:rPr>
          <w:rFonts w:ascii="Arial" w:eastAsia="Arial" w:hAnsi="Arial" w:cs="Arial"/>
          <w:color w:val="231F20"/>
          <w:sz w:val="16"/>
          <w:szCs w:val="16"/>
        </w:rPr>
        <w:t>Los cargos de entrada y salida mostrados son cifras máximas y en algunos casos puede pagar menos. Los inversores pueden averiguar los cargos reales de entrada y salida de su distribuidor y/o asesor.</w:t>
      </w:r>
    </w:p>
    <w:p w14:paraId="16933CDE" w14:textId="77777777" w:rsidR="00991C40" w:rsidRDefault="00C36143">
      <w:pPr>
        <w:spacing w:line="236" w:lineRule="auto"/>
        <w:jc w:val="both"/>
        <w:rPr>
          <w:sz w:val="20"/>
          <w:szCs w:val="20"/>
        </w:rPr>
      </w:pPr>
      <w:r>
        <w:rPr>
          <w:rFonts w:ascii="Arial" w:eastAsia="Arial" w:hAnsi="Arial" w:cs="Arial"/>
          <w:color w:val="231F20"/>
          <w:sz w:val="15"/>
          <w:szCs w:val="15"/>
        </w:rPr>
        <w:t>Los programas de acción que se ocupan directamente</w:t>
      </w:r>
      <w:r>
        <w:rPr>
          <w:rFonts w:ascii="Arial" w:eastAsia="Arial" w:hAnsi="Arial" w:cs="Arial"/>
          <w:color w:val="231F20"/>
          <w:sz w:val="15"/>
          <w:szCs w:val="15"/>
        </w:rPr>
        <w:t xml:space="preserve"> de la Caja pagarán los costos de transacción conexos. Para las creaciones o amortizaciones de efectivo puede haber una comisión por transacción en efectivo de un máximo del 2% que se paga al Fondo, y todas las transacciones tendrán costos de transacción a</w:t>
      </w:r>
      <w:r>
        <w:rPr>
          <w:rFonts w:ascii="Arial" w:eastAsia="Arial" w:hAnsi="Arial" w:cs="Arial"/>
          <w:color w:val="231F20"/>
          <w:sz w:val="15"/>
          <w:szCs w:val="15"/>
        </w:rPr>
        <w:t>sociados. Los inversores que no sean APs no pagarán estos honorarios o costos.</w:t>
      </w:r>
    </w:p>
    <w:p w14:paraId="0F3CABC7" w14:textId="77777777" w:rsidR="00991C40" w:rsidRDefault="00991C40">
      <w:pPr>
        <w:spacing w:line="2" w:lineRule="exact"/>
        <w:rPr>
          <w:sz w:val="20"/>
          <w:szCs w:val="20"/>
        </w:rPr>
      </w:pPr>
    </w:p>
    <w:p w14:paraId="4E8086E3" w14:textId="77777777" w:rsidR="00991C40" w:rsidRDefault="00C36143">
      <w:pPr>
        <w:numPr>
          <w:ilvl w:val="0"/>
          <w:numId w:val="13"/>
        </w:numPr>
        <w:tabs>
          <w:tab w:val="left" w:pos="97"/>
        </w:tabs>
        <w:spacing w:line="226" w:lineRule="auto"/>
        <w:jc w:val="both"/>
        <w:rPr>
          <w:rFonts w:ascii="Arial" w:eastAsia="Arial" w:hAnsi="Arial" w:cs="Arial"/>
          <w:color w:val="231F20"/>
          <w:sz w:val="16"/>
          <w:szCs w:val="16"/>
        </w:rPr>
      </w:pPr>
      <w:r>
        <w:rPr>
          <w:rFonts w:ascii="Arial" w:eastAsia="Arial" w:hAnsi="Arial" w:cs="Arial"/>
          <w:color w:val="231F20"/>
          <w:sz w:val="16"/>
          <w:szCs w:val="16"/>
        </w:rPr>
        <w:t>En el caso de una gran suscripción o reembolso por parte de un inversor, este puede tener que pagar un cargo adicional (por ejemplo, una tasa antidilución) al Fondo para cubrir los costes de transacción incurridos.</w:t>
      </w:r>
    </w:p>
    <w:p w14:paraId="2F604718" w14:textId="77777777" w:rsidR="00991C40" w:rsidRDefault="00C36143">
      <w:pPr>
        <w:spacing w:line="226" w:lineRule="auto"/>
        <w:jc w:val="both"/>
        <w:rPr>
          <w:sz w:val="20"/>
          <w:szCs w:val="20"/>
        </w:rPr>
      </w:pPr>
      <w:r>
        <w:rPr>
          <w:rFonts w:ascii="Arial" w:eastAsia="Arial" w:hAnsi="Arial" w:cs="Arial"/>
          <w:color w:val="231F20"/>
          <w:sz w:val="16"/>
          <w:szCs w:val="16"/>
        </w:rPr>
        <w:t xml:space="preserve">La cifra de gastos corrientes se basa en </w:t>
      </w:r>
      <w:r>
        <w:rPr>
          <w:rFonts w:ascii="Arial" w:eastAsia="Arial" w:hAnsi="Arial" w:cs="Arial"/>
          <w:color w:val="231F20"/>
          <w:sz w:val="16"/>
          <w:szCs w:val="16"/>
        </w:rPr>
        <w:t>los gastos del ejercicio finalizado el 31 de diciembre de 2022. Esta cifra puede variar de un año a otro. Se excluyen los costes de transacción de cartera.</w:t>
      </w:r>
    </w:p>
    <w:p w14:paraId="5F09D376" w14:textId="77777777" w:rsidR="00991C40" w:rsidRDefault="00C36143">
      <w:pPr>
        <w:spacing w:line="247" w:lineRule="auto"/>
        <w:jc w:val="both"/>
        <w:rPr>
          <w:sz w:val="20"/>
          <w:szCs w:val="20"/>
        </w:rPr>
      </w:pPr>
      <w:r>
        <w:rPr>
          <w:rFonts w:ascii="Arial" w:eastAsia="Arial" w:hAnsi="Arial" w:cs="Arial"/>
          <w:b/>
          <w:bCs/>
          <w:color w:val="231F20"/>
          <w:sz w:val="15"/>
          <w:szCs w:val="15"/>
        </w:rPr>
        <w:t>Para obtener más información sobre los cargos, consulte el folleto y las secciones tituladas “Compra</w:t>
      </w:r>
      <w:r>
        <w:rPr>
          <w:rFonts w:ascii="Arial" w:eastAsia="Arial" w:hAnsi="Arial" w:cs="Arial"/>
          <w:b/>
          <w:bCs/>
          <w:color w:val="231F20"/>
          <w:sz w:val="15"/>
          <w:szCs w:val="15"/>
        </w:rPr>
        <w:t>r acciones”, “Canjear acciones”, “Comisiones y gastos” y el apéndice 1 de nuestro sitio web en</w:t>
      </w:r>
      <w:r>
        <w:rPr>
          <w:rFonts w:ascii="Arial" w:eastAsia="Arial" w:hAnsi="Arial" w:cs="Arial"/>
          <w:color w:val="231F20"/>
          <w:sz w:val="15"/>
          <w:szCs w:val="15"/>
        </w:rPr>
        <w:t xml:space="preserve"> https://global.vanguard.com</w:t>
      </w:r>
    </w:p>
    <w:p w14:paraId="26C1C00E" w14:textId="77777777" w:rsidR="00991C40" w:rsidRDefault="00C36143">
      <w:pPr>
        <w:spacing w:line="20" w:lineRule="exact"/>
        <w:rPr>
          <w:sz w:val="20"/>
          <w:szCs w:val="20"/>
        </w:rPr>
      </w:pPr>
      <w:r>
        <w:rPr>
          <w:noProof/>
          <w:sz w:val="20"/>
          <w:szCs w:val="20"/>
        </w:rPr>
        <mc:AlternateContent>
          <mc:Choice Requires="wps">
            <w:drawing>
              <wp:anchor distT="0" distB="0" distL="114300" distR="114300" simplePos="0" relativeHeight="251662848" behindDoc="1" locked="0" layoutInCell="0" allowOverlap="1" wp14:anchorId="19085D6E" wp14:editId="07777777">
                <wp:simplePos x="0" y="0"/>
                <wp:positionH relativeFrom="column">
                  <wp:posOffset>-3429000</wp:posOffset>
                </wp:positionH>
                <wp:positionV relativeFrom="paragraph">
                  <wp:posOffset>85725</wp:posOffset>
                </wp:positionV>
                <wp:extent cx="6845300" cy="0"/>
                <wp:effectExtent l="0" t="0" r="0" b="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w14:anchorId="38D4E8D6" id="Shape 13" o:spid="_x0000_s1026" style="position:absolute;z-index:-251653632;visibility:visible;mso-wrap-style:square;mso-wrap-distance-left:9pt;mso-wrap-distance-top:0;mso-wrap-distance-right:9pt;mso-wrap-distance-bottom:0;mso-position-horizontal:absolute;mso-position-horizontal-relative:text;mso-position-vertical:absolute;mso-position-vertical-relative:text" from="-270pt,6.75pt" to="269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" o:allowincell="f" filled="t" strokecolor="#231f20" strokeweight=".4pt">
                <v:stroke joinstyle="miter"/>
                <o:lock v:ext="edit" shapetype="f"/>
              </v:line>
            </w:pict>
          </mc:Fallback>
        </mc:AlternateContent>
      </w:r>
    </w:p>
    <w:p w14:paraId="5B08B5D1" w14:textId="77777777" w:rsidR="00991C40" w:rsidRDefault="00991C40">
      <w:pPr>
        <w:spacing w:line="200" w:lineRule="exact"/>
        <w:rPr>
          <w:sz w:val="20"/>
          <w:szCs w:val="20"/>
        </w:rPr>
      </w:pPr>
    </w:p>
    <w:p w14:paraId="16DEB4AB" w14:textId="77777777" w:rsidR="00991C40" w:rsidRDefault="00991C40">
      <w:pPr>
        <w:sectPr w:rsidR="00991C40">
          <w:type w:val="continuous"/>
          <w:pgSz w:w="11900" w:h="16940"/>
          <w:pgMar w:top="477" w:right="560" w:bottom="0" w:left="541" w:header="0" w:footer="0" w:gutter="0"/>
          <w:cols w:num="2" w:space="720" w:equalWidth="0">
            <w:col w:w="5219" w:space="200"/>
            <w:col w:w="5380"/>
          </w:cols>
        </w:sectPr>
      </w:pPr>
    </w:p>
    <w:p w14:paraId="0AD9C6F4" w14:textId="77777777" w:rsidR="00991C40" w:rsidRDefault="00991C40">
      <w:pPr>
        <w:spacing w:line="13" w:lineRule="exact"/>
        <w:rPr>
          <w:sz w:val="20"/>
          <w:szCs w:val="20"/>
        </w:rPr>
      </w:pPr>
    </w:p>
    <w:p w14:paraId="0CD074C7" w14:textId="77777777" w:rsidR="00991C40" w:rsidRDefault="00C36143">
      <w:pPr>
        <w:ind w:left="19"/>
        <w:rPr>
          <w:sz w:val="20"/>
          <w:szCs w:val="20"/>
        </w:rPr>
      </w:pPr>
      <w:r>
        <w:rPr>
          <w:rFonts w:ascii="Arial" w:eastAsia="Arial" w:hAnsi="Arial" w:cs="Arial"/>
          <w:color w:val="231F20"/>
          <w:sz w:val="24"/>
          <w:szCs w:val="24"/>
        </w:rPr>
        <w:t>Rendimiento anterior</w:t>
      </w:r>
    </w:p>
    <w:p w14:paraId="4B1F511A" w14:textId="77777777" w:rsidR="00991C40" w:rsidRDefault="00991C40">
      <w:pPr>
        <w:spacing w:line="136" w:lineRule="exact"/>
        <w:rPr>
          <w:sz w:val="20"/>
          <w:szCs w:val="20"/>
        </w:rPr>
      </w:pPr>
    </w:p>
    <w:p w14:paraId="05CDD434" w14:textId="77777777" w:rsidR="00991C40" w:rsidRDefault="00C36143">
      <w:pPr>
        <w:ind w:left="6019"/>
        <w:rPr>
          <w:sz w:val="20"/>
          <w:szCs w:val="20"/>
        </w:rPr>
      </w:pPr>
      <w:r>
        <w:rPr>
          <w:rFonts w:ascii="Arial" w:eastAsia="Arial" w:hAnsi="Arial" w:cs="Arial"/>
          <w:color w:val="231F20"/>
          <w:sz w:val="16"/>
          <w:szCs w:val="16"/>
        </w:rPr>
        <w:t xml:space="preserve">2 </w:t>
      </w:r>
      <w:r>
        <w:rPr>
          <w:rFonts w:ascii="Arial" w:eastAsia="Arial" w:hAnsi="Arial" w:cs="Arial"/>
          <w:b/>
          <w:bCs/>
          <w:color w:val="231F20"/>
          <w:sz w:val="16"/>
          <w:szCs w:val="16"/>
        </w:rPr>
        <w:t>Actuaciones anteriores:</w:t>
      </w:r>
    </w:p>
    <w:p w14:paraId="2E7DA9D1" w14:textId="77777777" w:rsidR="00991C40" w:rsidRDefault="00C36143">
      <w:pPr>
        <w:spacing w:line="20" w:lineRule="exact"/>
        <w:rPr>
          <w:sz w:val="20"/>
          <w:szCs w:val="20"/>
        </w:rPr>
      </w:pPr>
      <w:r>
        <w:rPr>
          <w:noProof/>
          <w:sz w:val="20"/>
          <w:szCs w:val="20"/>
        </w:rPr>
        <w:drawing>
          <wp:anchor distT="0" distB="0" distL="114300" distR="114300" simplePos="0" relativeHeight="251663872" behindDoc="1" locked="0" layoutInCell="0" allowOverlap="1" wp14:anchorId="39C0BB2A" wp14:editId="07777777">
            <wp:simplePos x="0" y="0"/>
            <wp:positionH relativeFrom="column">
              <wp:posOffset>75565</wp:posOffset>
            </wp:positionH>
            <wp:positionV relativeFrom="paragraph">
              <wp:posOffset>-112395</wp:posOffset>
            </wp:positionV>
            <wp:extent cx="3619500" cy="213360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srcRect/>
                    <a:stretch>
                      <a:fillRect/>
                    </a:stretch>
                  </pic:blipFill>
                  <pic:spPr bwMode="auto">
                    <a:xfrm>
                      <a:off x="0" y="0"/>
                      <a:ext cx="3619500" cy="2133600"/>
                    </a:xfrm>
                    <a:prstGeom prst="rect">
                      <a:avLst/>
                    </a:prstGeom>
                    <a:noFill/>
                  </pic:spPr>
                </pic:pic>
              </a:graphicData>
            </a:graphic>
          </wp:anchor>
        </w:drawing>
      </w:r>
    </w:p>
    <w:p w14:paraId="65F9C3DC" w14:textId="77777777" w:rsidR="00991C40" w:rsidRDefault="00991C40">
      <w:pPr>
        <w:spacing w:line="22" w:lineRule="exact"/>
        <w:rPr>
          <w:sz w:val="20"/>
          <w:szCs w:val="20"/>
        </w:rPr>
      </w:pPr>
    </w:p>
    <w:p w14:paraId="1354661F" w14:textId="77777777" w:rsidR="00991C40" w:rsidRDefault="00C36143">
      <w:pPr>
        <w:ind w:left="6219"/>
        <w:rPr>
          <w:sz w:val="20"/>
          <w:szCs w:val="20"/>
        </w:rPr>
      </w:pPr>
      <w:r>
        <w:rPr>
          <w:rFonts w:ascii="Arial" w:eastAsia="Arial" w:hAnsi="Arial" w:cs="Arial"/>
          <w:color w:val="231F20"/>
          <w:sz w:val="16"/>
          <w:szCs w:val="16"/>
        </w:rPr>
        <w:t xml:space="preserve">1. </w:t>
      </w:r>
      <w:r>
        <w:rPr>
          <w:rFonts w:ascii="Arial" w:eastAsia="Arial" w:hAnsi="Arial" w:cs="Arial"/>
          <w:b/>
          <w:bCs/>
          <w:color w:val="231F20"/>
          <w:sz w:val="16"/>
          <w:szCs w:val="16"/>
        </w:rPr>
        <w:t>No es una indicación fiable de rendimiento f</w:t>
      </w:r>
      <w:r>
        <w:rPr>
          <w:rFonts w:ascii="Arial" w:eastAsia="Arial" w:hAnsi="Arial" w:cs="Arial"/>
          <w:b/>
          <w:bCs/>
          <w:color w:val="231F20"/>
          <w:sz w:val="16"/>
          <w:szCs w:val="16"/>
        </w:rPr>
        <w:t>uturo.</w:t>
      </w:r>
    </w:p>
    <w:p w14:paraId="5023141B" w14:textId="77777777" w:rsidR="00991C40" w:rsidRDefault="00991C40">
      <w:pPr>
        <w:spacing w:line="16" w:lineRule="exact"/>
        <w:rPr>
          <w:sz w:val="20"/>
          <w:szCs w:val="20"/>
        </w:rPr>
      </w:pPr>
    </w:p>
    <w:p w14:paraId="4735D06A" w14:textId="77777777" w:rsidR="00991C40" w:rsidRDefault="00C36143">
      <w:pPr>
        <w:spacing w:line="229" w:lineRule="auto"/>
        <w:ind w:left="6419" w:hanging="199"/>
        <w:rPr>
          <w:sz w:val="20"/>
          <w:szCs w:val="20"/>
        </w:rPr>
      </w:pPr>
      <w:r>
        <w:rPr>
          <w:rFonts w:ascii="Arial" w:eastAsia="Arial" w:hAnsi="Arial" w:cs="Arial"/>
          <w:color w:val="231F20"/>
          <w:sz w:val="16"/>
          <w:szCs w:val="16"/>
        </w:rPr>
        <w:t>2. Incluye los gastos corrientes y la reinversión de los ingresos. Se excluyen las tasas de entrada y salida.</w:t>
      </w:r>
    </w:p>
    <w:p w14:paraId="1F3B1409" w14:textId="77777777" w:rsidR="00991C40" w:rsidRDefault="00991C40">
      <w:pPr>
        <w:spacing w:line="1" w:lineRule="exact"/>
        <w:rPr>
          <w:sz w:val="20"/>
          <w:szCs w:val="20"/>
        </w:rPr>
      </w:pPr>
    </w:p>
    <w:p w14:paraId="31476100" w14:textId="77777777" w:rsidR="00991C40" w:rsidRDefault="00C36143">
      <w:pPr>
        <w:ind w:left="6219"/>
        <w:rPr>
          <w:sz w:val="20"/>
          <w:szCs w:val="20"/>
        </w:rPr>
      </w:pPr>
      <w:r>
        <w:rPr>
          <w:rFonts w:ascii="Arial" w:eastAsia="Arial" w:hAnsi="Arial" w:cs="Arial"/>
          <w:color w:val="231F20"/>
          <w:sz w:val="16"/>
          <w:szCs w:val="16"/>
        </w:rPr>
        <w:t>3. Se ha calculado en USD.</w:t>
      </w:r>
    </w:p>
    <w:p w14:paraId="562C75D1" w14:textId="77777777" w:rsidR="00991C40" w:rsidRDefault="00991C40">
      <w:pPr>
        <w:spacing w:line="16" w:lineRule="exact"/>
        <w:rPr>
          <w:sz w:val="20"/>
          <w:szCs w:val="20"/>
        </w:rPr>
      </w:pPr>
    </w:p>
    <w:p w14:paraId="0D4C107D" w14:textId="77777777" w:rsidR="00991C40" w:rsidRDefault="00C36143">
      <w:pPr>
        <w:ind w:left="6019"/>
        <w:rPr>
          <w:sz w:val="20"/>
          <w:szCs w:val="20"/>
        </w:rPr>
      </w:pPr>
      <w:r>
        <w:rPr>
          <w:rFonts w:ascii="Arial" w:eastAsia="Arial" w:hAnsi="Arial" w:cs="Arial"/>
          <w:color w:val="231F20"/>
          <w:sz w:val="16"/>
          <w:szCs w:val="16"/>
        </w:rPr>
        <w:t>2 Las acciones del Fondo se emitieron por primera vez en 2012.</w:t>
      </w:r>
    </w:p>
    <w:p w14:paraId="6064FC8F" w14:textId="77777777" w:rsidR="00991C40" w:rsidRDefault="00C36143">
      <w:pPr>
        <w:spacing w:line="187" w:lineRule="auto"/>
        <w:ind w:left="6159"/>
        <w:rPr>
          <w:sz w:val="20"/>
          <w:szCs w:val="20"/>
        </w:rPr>
      </w:pPr>
      <w:r>
        <w:rPr>
          <w:rFonts w:ascii="Arial" w:eastAsia="Arial" w:hAnsi="Arial" w:cs="Arial"/>
          <w:color w:val="231F20"/>
          <w:sz w:val="15"/>
          <w:szCs w:val="15"/>
        </w:rPr>
        <w:t>Esta clase de acciones se lanzó en 2019.</w:t>
      </w:r>
    </w:p>
    <w:tbl>
      <w:tblPr>
        <w:tblW w:w="0" w:type="auto"/>
        <w:tblLayout w:type="fixed"/>
        <w:tblCellMar>
          <w:left w:w="0" w:type="dxa"/>
          <w:right w:w="0" w:type="dxa"/>
        </w:tblCellMar>
        <w:tblLook w:val="04A0" w:firstRow="1" w:lastRow="0" w:firstColumn="1" w:lastColumn="0" w:noHBand="0" w:noVBand="1"/>
      </w:tblPr>
      <w:tblGrid>
        <w:gridCol w:w="161"/>
      </w:tblGrid>
      <w:tr w:rsidR="00991C40" w14:paraId="69778401" w14:textId="77777777">
        <w:trPr>
          <w:trHeight w:val="780"/>
        </w:trPr>
        <w:tc>
          <w:tcPr>
            <w:tcW w:w="161" w:type="dxa"/>
            <w:textDirection w:val="btLr"/>
            <w:vAlign w:val="bottom"/>
          </w:tcPr>
          <w:p w14:paraId="5B3497B2" w14:textId="77777777" w:rsidR="00991C40" w:rsidRDefault="00C36143">
            <w:pPr>
              <w:rPr>
                <w:sz w:val="20"/>
                <w:szCs w:val="20"/>
              </w:rPr>
            </w:pPr>
            <w:r>
              <w:rPr>
                <w:rFonts w:ascii="Arial" w:eastAsia="Arial" w:hAnsi="Arial" w:cs="Arial"/>
                <w:color w:val="231F20"/>
                <w:sz w:val="14"/>
                <w:szCs w:val="14"/>
              </w:rPr>
              <w:t>Porcentaje (%)</w:t>
            </w:r>
          </w:p>
        </w:tc>
      </w:tr>
    </w:tbl>
    <w:p w14:paraId="664355AD" w14:textId="77777777" w:rsidR="00991C40" w:rsidRDefault="00991C40">
      <w:pPr>
        <w:spacing w:line="200" w:lineRule="exact"/>
        <w:rPr>
          <w:sz w:val="20"/>
          <w:szCs w:val="20"/>
        </w:rPr>
      </w:pPr>
    </w:p>
    <w:p w14:paraId="1A965116" w14:textId="77777777" w:rsidR="00991C40" w:rsidRDefault="00991C40">
      <w:pPr>
        <w:spacing w:line="200" w:lineRule="exact"/>
        <w:rPr>
          <w:sz w:val="20"/>
          <w:szCs w:val="20"/>
        </w:rPr>
      </w:pPr>
    </w:p>
    <w:p w14:paraId="7DF4E37C" w14:textId="77777777" w:rsidR="00991C40" w:rsidRDefault="00991C40">
      <w:pPr>
        <w:spacing w:line="200" w:lineRule="exact"/>
        <w:rPr>
          <w:sz w:val="20"/>
          <w:szCs w:val="20"/>
        </w:rPr>
      </w:pPr>
    </w:p>
    <w:p w14:paraId="44FB30F8" w14:textId="77777777" w:rsidR="00991C40" w:rsidRDefault="00991C40">
      <w:pPr>
        <w:spacing w:line="200" w:lineRule="exact"/>
        <w:rPr>
          <w:sz w:val="20"/>
          <w:szCs w:val="20"/>
        </w:rPr>
      </w:pPr>
    </w:p>
    <w:p w14:paraId="1DA6542E" w14:textId="77777777" w:rsidR="00991C40" w:rsidRDefault="00991C40">
      <w:pPr>
        <w:spacing w:line="200" w:lineRule="exact"/>
        <w:rPr>
          <w:sz w:val="20"/>
          <w:szCs w:val="20"/>
        </w:rPr>
      </w:pPr>
    </w:p>
    <w:p w14:paraId="3041E394" w14:textId="77777777" w:rsidR="00991C40" w:rsidRDefault="00991C40">
      <w:pPr>
        <w:spacing w:line="368" w:lineRule="exact"/>
        <w:rPr>
          <w:sz w:val="20"/>
          <w:szCs w:val="20"/>
        </w:rPr>
      </w:pPr>
    </w:p>
    <w:p w14:paraId="32AD9A64" w14:textId="77777777" w:rsidR="00991C40" w:rsidRDefault="00C36143">
      <w:pPr>
        <w:ind w:left="419"/>
        <w:rPr>
          <w:sz w:val="20"/>
          <w:szCs w:val="20"/>
        </w:rPr>
      </w:pPr>
      <w:r>
        <w:rPr>
          <w:noProof/>
          <w:sz w:val="1"/>
          <w:szCs w:val="1"/>
        </w:rPr>
        <w:drawing>
          <wp:inline distT="0" distB="0" distL="0" distR="0" wp14:anchorId="7A3A57FF" wp14:editId="07777777">
            <wp:extent cx="98425" cy="9842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srcRect/>
                    <a:stretch>
                      <a:fillRect/>
                    </a:stretch>
                  </pic:blipFill>
                  <pic:spPr bwMode="auto">
                    <a:xfrm>
                      <a:off x="0" y="0"/>
                      <a:ext cx="98425" cy="98425"/>
                    </a:xfrm>
                    <a:prstGeom prst="rect">
                      <a:avLst/>
                    </a:prstGeom>
                    <a:noFill/>
                    <a:ln>
                      <a:noFill/>
                    </a:ln>
                  </pic:spPr>
                </pic:pic>
              </a:graphicData>
            </a:graphic>
          </wp:inline>
        </w:drawing>
      </w:r>
      <w:r>
        <w:rPr>
          <w:rFonts w:ascii="Arial" w:eastAsia="Arial" w:hAnsi="Arial" w:cs="Arial"/>
          <w:color w:val="231F20"/>
          <w:sz w:val="16"/>
          <w:szCs w:val="16"/>
        </w:rPr>
        <w:t xml:space="preserve"> Fondo</w:t>
      </w:r>
    </w:p>
    <w:p w14:paraId="722B00AE" w14:textId="77777777" w:rsidR="00991C40" w:rsidRDefault="00991C40">
      <w:pPr>
        <w:spacing w:line="25" w:lineRule="exact"/>
        <w:rPr>
          <w:sz w:val="20"/>
          <w:szCs w:val="20"/>
        </w:rPr>
      </w:pPr>
    </w:p>
    <w:p w14:paraId="445C3947" w14:textId="77777777" w:rsidR="00991C40" w:rsidRDefault="00C36143">
      <w:pPr>
        <w:ind w:left="419"/>
        <w:rPr>
          <w:sz w:val="20"/>
          <w:szCs w:val="20"/>
        </w:rPr>
      </w:pPr>
      <w:r>
        <w:rPr>
          <w:noProof/>
          <w:sz w:val="1"/>
          <w:szCs w:val="1"/>
        </w:rPr>
        <w:drawing>
          <wp:inline distT="0" distB="0" distL="0" distR="0" wp14:anchorId="07BC056B" wp14:editId="07777777">
            <wp:extent cx="98425" cy="9842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srcRect/>
                    <a:stretch>
                      <a:fillRect/>
                    </a:stretch>
                  </pic:blipFill>
                  <pic:spPr bwMode="auto">
                    <a:xfrm>
                      <a:off x="0" y="0"/>
                      <a:ext cx="98425" cy="98425"/>
                    </a:xfrm>
                    <a:prstGeom prst="rect">
                      <a:avLst/>
                    </a:prstGeom>
                    <a:noFill/>
                    <a:ln>
                      <a:noFill/>
                    </a:ln>
                  </pic:spPr>
                </pic:pic>
              </a:graphicData>
            </a:graphic>
          </wp:inline>
        </w:drawing>
      </w:r>
      <w:r>
        <w:rPr>
          <w:rFonts w:ascii="Arial" w:eastAsia="Arial" w:hAnsi="Arial" w:cs="Arial"/>
          <w:color w:val="231F20"/>
          <w:sz w:val="16"/>
          <w:szCs w:val="16"/>
        </w:rPr>
        <w:t xml:space="preserve"> Índice</w:t>
      </w:r>
    </w:p>
    <w:p w14:paraId="17C79D55" w14:textId="77777777" w:rsidR="00991C40" w:rsidRDefault="00C36143">
      <w:pPr>
        <w:spacing w:line="20" w:lineRule="exact"/>
        <w:rPr>
          <w:sz w:val="20"/>
          <w:szCs w:val="20"/>
        </w:rPr>
      </w:pPr>
      <w:r>
        <w:rPr>
          <w:noProof/>
          <w:sz w:val="20"/>
          <w:szCs w:val="20"/>
        </w:rPr>
        <mc:AlternateContent>
          <mc:Choice Requires="wps">
            <w:drawing>
              <wp:anchor distT="0" distB="0" distL="114300" distR="114300" simplePos="0" relativeHeight="251664896" behindDoc="1" locked="0" layoutInCell="0" allowOverlap="1" wp14:anchorId="1C0039DB" wp14:editId="07777777">
                <wp:simplePos x="0" y="0"/>
                <wp:positionH relativeFrom="column">
                  <wp:posOffset>11430</wp:posOffset>
                </wp:positionH>
                <wp:positionV relativeFrom="paragraph">
                  <wp:posOffset>93980</wp:posOffset>
                </wp:positionV>
                <wp:extent cx="6845300" cy="0"/>
                <wp:effectExtent l="0" t="0" r="0" b="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w14:anchorId="713E725E" id="Shape 17" o:spid="_x0000_s1026" style="position:absolute;z-index:-251651584;visibility:visible;mso-wrap-style:square;mso-wrap-distance-left:9pt;mso-wrap-distance-top:0;mso-wrap-distance-right:9pt;mso-wrap-distance-bottom:0;mso-position-horizontal:absolute;mso-position-horizontal-relative:text;mso-position-vertical:absolute;mso-position-vertical-relative:text" from=".9pt,7.4pt" to="539.9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" o:allowincell="f" filled="t" strokecolor="#231f20" strokeweight=".4pt">
                <v:stroke joinstyle="miter"/>
                <o:lock v:ext="edit" shapetype="f"/>
              </v:line>
            </w:pict>
          </mc:Fallback>
        </mc:AlternateContent>
      </w:r>
    </w:p>
    <w:p w14:paraId="42C6D796" w14:textId="77777777" w:rsidR="00991C40" w:rsidRDefault="00991C40">
      <w:pPr>
        <w:spacing w:line="206" w:lineRule="exact"/>
        <w:rPr>
          <w:sz w:val="20"/>
          <w:szCs w:val="20"/>
        </w:rPr>
      </w:pPr>
    </w:p>
    <w:p w14:paraId="4967C0F8" w14:textId="77777777" w:rsidR="00991C40" w:rsidRDefault="00C36143">
      <w:pPr>
        <w:ind w:left="19"/>
        <w:rPr>
          <w:sz w:val="20"/>
          <w:szCs w:val="20"/>
        </w:rPr>
      </w:pPr>
      <w:r>
        <w:rPr>
          <w:rFonts w:ascii="Arial" w:eastAsia="Arial" w:hAnsi="Arial" w:cs="Arial"/>
          <w:color w:val="231F20"/>
          <w:sz w:val="24"/>
          <w:szCs w:val="24"/>
        </w:rPr>
        <w:t>Información práctica</w:t>
      </w:r>
    </w:p>
    <w:p w14:paraId="6E1831B3" w14:textId="77777777" w:rsidR="00991C40" w:rsidRDefault="00991C40">
      <w:pPr>
        <w:spacing w:line="136" w:lineRule="exact"/>
        <w:rPr>
          <w:sz w:val="20"/>
          <w:szCs w:val="20"/>
        </w:rPr>
      </w:pPr>
    </w:p>
    <w:p w14:paraId="73C01679" w14:textId="77777777" w:rsidR="00991C40" w:rsidRDefault="00C36143">
      <w:pPr>
        <w:numPr>
          <w:ilvl w:val="0"/>
          <w:numId w:val="14"/>
        </w:numPr>
        <w:tabs>
          <w:tab w:val="left" w:pos="159"/>
        </w:tabs>
        <w:ind w:left="159" w:hanging="140"/>
        <w:rPr>
          <w:rFonts w:ascii="Arial" w:eastAsia="Arial" w:hAnsi="Arial" w:cs="Arial"/>
          <w:color w:val="231F20"/>
          <w:sz w:val="16"/>
          <w:szCs w:val="16"/>
        </w:rPr>
      </w:pPr>
      <w:r>
        <w:rPr>
          <w:rFonts w:ascii="Arial" w:eastAsia="Arial" w:hAnsi="Arial" w:cs="Arial"/>
          <w:b/>
          <w:bCs/>
          <w:color w:val="231F20"/>
          <w:sz w:val="16"/>
          <w:szCs w:val="16"/>
        </w:rPr>
        <w:t>Depositario:</w:t>
      </w:r>
      <w:r>
        <w:rPr>
          <w:rFonts w:ascii="Arial" w:eastAsia="Arial" w:hAnsi="Arial" w:cs="Arial"/>
          <w:color w:val="231F20"/>
          <w:sz w:val="16"/>
          <w:szCs w:val="16"/>
        </w:rPr>
        <w:t xml:space="preserve"> Brown Brothers Harriman Trust Services (Ireland) Limited.</w:t>
      </w:r>
    </w:p>
    <w:p w14:paraId="54E11D2A" w14:textId="77777777" w:rsidR="00991C40" w:rsidRDefault="00991C40">
      <w:pPr>
        <w:spacing w:line="42" w:lineRule="exact"/>
        <w:rPr>
          <w:sz w:val="20"/>
          <w:szCs w:val="20"/>
        </w:rPr>
      </w:pPr>
    </w:p>
    <w:p w14:paraId="1121A300" w14:textId="77777777" w:rsidR="00991C40" w:rsidRDefault="00C36143">
      <w:pPr>
        <w:spacing w:line="216" w:lineRule="auto"/>
        <w:ind w:left="159" w:hanging="139"/>
        <w:jc w:val="both"/>
        <w:rPr>
          <w:sz w:val="20"/>
          <w:szCs w:val="20"/>
        </w:rPr>
      </w:pPr>
      <w:r>
        <w:rPr>
          <w:rFonts w:ascii="Arial" w:eastAsia="Arial" w:hAnsi="Arial" w:cs="Arial"/>
          <w:color w:val="231F20"/>
          <w:sz w:val="16"/>
          <w:szCs w:val="16"/>
        </w:rPr>
        <w:t xml:space="preserve">2 </w:t>
      </w:r>
      <w:r>
        <w:rPr>
          <w:rFonts w:ascii="Arial" w:eastAsia="Arial" w:hAnsi="Arial" w:cs="Arial"/>
          <w:b/>
          <w:bCs/>
          <w:color w:val="231F20"/>
          <w:sz w:val="16"/>
          <w:szCs w:val="16"/>
        </w:rPr>
        <w:t>Documentos, precios de las acciones e información adicional:</w:t>
      </w:r>
      <w:r>
        <w:rPr>
          <w:rFonts w:ascii="Arial" w:eastAsia="Arial" w:hAnsi="Arial" w:cs="Arial"/>
          <w:color w:val="231F20"/>
          <w:sz w:val="16"/>
          <w:szCs w:val="16"/>
        </w:rPr>
        <w:t xml:space="preserve"> Puede obtener copias del folleto y del último informe y cuentas anuales y semestrales de Vanguard Funds plc (“VF”), junto con los últ</w:t>
      </w:r>
      <w:r>
        <w:rPr>
          <w:rFonts w:ascii="Arial" w:eastAsia="Arial" w:hAnsi="Arial" w:cs="Arial"/>
          <w:color w:val="231F20"/>
          <w:sz w:val="16"/>
          <w:szCs w:val="16"/>
        </w:rPr>
        <w:t xml:space="preserve">imos precios publicados de las acciones y otra información práctica, en VF c/o Brown Brothers Harriman Fund Administration Services (Ireland) Limited, 30 Herbert Street, Dublin 2, D02 W329, Irlanda o en nuestro sitio web https://global.vanguard.com. Puede </w:t>
      </w:r>
      <w:r>
        <w:rPr>
          <w:rFonts w:ascii="Arial" w:eastAsia="Arial" w:hAnsi="Arial" w:cs="Arial"/>
          <w:color w:val="231F20"/>
          <w:sz w:val="16"/>
          <w:szCs w:val="16"/>
        </w:rPr>
        <w:t>obtenerse información sobre la política de divulgación de la cartera del Fondo y la publicación del iNAV en https://global.vanguard.com/portal/site/portal/ucits-documentation. Los documentos están disponibles en inglés y son gratuitos.</w:t>
      </w:r>
    </w:p>
    <w:p w14:paraId="31126E5D" w14:textId="77777777" w:rsidR="00991C40" w:rsidRDefault="00991C40">
      <w:pPr>
        <w:spacing w:line="2" w:lineRule="exact"/>
        <w:rPr>
          <w:sz w:val="20"/>
          <w:szCs w:val="20"/>
        </w:rPr>
      </w:pPr>
    </w:p>
    <w:p w14:paraId="5D87EFBD" w14:textId="77777777" w:rsidR="00991C40" w:rsidRDefault="00C36143">
      <w:pPr>
        <w:numPr>
          <w:ilvl w:val="0"/>
          <w:numId w:val="15"/>
        </w:numPr>
        <w:tabs>
          <w:tab w:val="left" w:pos="159"/>
        </w:tabs>
        <w:ind w:left="159" w:hanging="140"/>
        <w:rPr>
          <w:rFonts w:ascii="Arial" w:eastAsia="Arial" w:hAnsi="Arial" w:cs="Arial"/>
          <w:color w:val="231F20"/>
          <w:sz w:val="16"/>
          <w:szCs w:val="16"/>
        </w:rPr>
      </w:pPr>
      <w:r>
        <w:rPr>
          <w:rFonts w:ascii="Arial" w:eastAsia="Arial" w:hAnsi="Arial" w:cs="Arial"/>
          <w:b/>
          <w:bCs/>
          <w:color w:val="231F20"/>
          <w:sz w:val="16"/>
          <w:szCs w:val="16"/>
        </w:rPr>
        <w:t>Precios:</w:t>
      </w:r>
      <w:r>
        <w:rPr>
          <w:rFonts w:ascii="Arial" w:eastAsia="Arial" w:hAnsi="Arial" w:cs="Arial"/>
          <w:color w:val="231F20"/>
          <w:sz w:val="16"/>
          <w:szCs w:val="16"/>
        </w:rPr>
        <w:t xml:space="preserve"> Los último</w:t>
      </w:r>
      <w:r>
        <w:rPr>
          <w:rFonts w:ascii="Arial" w:eastAsia="Arial" w:hAnsi="Arial" w:cs="Arial"/>
          <w:color w:val="231F20"/>
          <w:sz w:val="16"/>
          <w:szCs w:val="16"/>
        </w:rPr>
        <w:t>s precios publicados de las acciones del Fondo también están disponibles en el sitio web del FT: www.ft.com o https://global.vanguard.com</w:t>
      </w:r>
    </w:p>
    <w:p w14:paraId="2DE403A5" w14:textId="77777777" w:rsidR="00991C40" w:rsidRDefault="00991C40">
      <w:pPr>
        <w:spacing w:line="26" w:lineRule="exact"/>
        <w:rPr>
          <w:sz w:val="20"/>
          <w:szCs w:val="20"/>
        </w:rPr>
      </w:pPr>
    </w:p>
    <w:p w14:paraId="3DB955D4" w14:textId="77777777" w:rsidR="00991C40" w:rsidRDefault="00C36143">
      <w:pPr>
        <w:numPr>
          <w:ilvl w:val="0"/>
          <w:numId w:val="16"/>
        </w:numPr>
        <w:tabs>
          <w:tab w:val="left" w:pos="159"/>
        </w:tabs>
        <w:spacing w:line="228" w:lineRule="auto"/>
        <w:ind w:left="159" w:hanging="140"/>
        <w:rPr>
          <w:rFonts w:ascii="Arial" w:eastAsia="Arial" w:hAnsi="Arial" w:cs="Arial"/>
          <w:color w:val="231F20"/>
          <w:sz w:val="16"/>
          <w:szCs w:val="16"/>
        </w:rPr>
      </w:pPr>
      <w:r>
        <w:rPr>
          <w:rFonts w:ascii="Arial" w:eastAsia="Arial" w:hAnsi="Arial" w:cs="Arial"/>
          <w:b/>
          <w:bCs/>
          <w:color w:val="231F20"/>
          <w:sz w:val="16"/>
          <w:szCs w:val="16"/>
        </w:rPr>
        <w:t>Impuestos:</w:t>
      </w:r>
      <w:r>
        <w:rPr>
          <w:rFonts w:ascii="Arial" w:eastAsia="Arial" w:hAnsi="Arial" w:cs="Arial"/>
          <w:color w:val="231F20"/>
          <w:sz w:val="16"/>
          <w:szCs w:val="16"/>
        </w:rPr>
        <w:t xml:space="preserve"> VF está sujeta a las leyes fiscales de Irlanda. Dependiendo de su país de residencia, esto puede tener un </w:t>
      </w:r>
      <w:r>
        <w:rPr>
          <w:rFonts w:ascii="Arial" w:eastAsia="Arial" w:hAnsi="Arial" w:cs="Arial"/>
          <w:color w:val="231F20"/>
          <w:sz w:val="16"/>
          <w:szCs w:val="16"/>
        </w:rPr>
        <w:t>impacto en su posición fiscal personal. Se recomienda que consulte a su asesor fiscal profesional.</w:t>
      </w:r>
    </w:p>
    <w:p w14:paraId="31961734" w14:textId="77777777" w:rsidR="00991C40" w:rsidRDefault="00C36143">
      <w:pPr>
        <w:numPr>
          <w:ilvl w:val="0"/>
          <w:numId w:val="17"/>
        </w:numPr>
        <w:tabs>
          <w:tab w:val="left" w:pos="159"/>
        </w:tabs>
        <w:spacing w:line="234" w:lineRule="auto"/>
        <w:ind w:left="159" w:hanging="140"/>
        <w:rPr>
          <w:rFonts w:ascii="Arial" w:eastAsia="Arial" w:hAnsi="Arial" w:cs="Arial"/>
          <w:color w:val="231F20"/>
          <w:sz w:val="16"/>
          <w:szCs w:val="16"/>
        </w:rPr>
      </w:pPr>
      <w:r>
        <w:rPr>
          <w:rFonts w:ascii="Arial" w:eastAsia="Arial" w:hAnsi="Arial" w:cs="Arial"/>
          <w:b/>
          <w:bCs/>
          <w:color w:val="231F20"/>
          <w:sz w:val="16"/>
          <w:szCs w:val="16"/>
        </w:rPr>
        <w:t>Responsabilidad:</w:t>
      </w:r>
      <w:r>
        <w:rPr>
          <w:rFonts w:ascii="Arial" w:eastAsia="Arial" w:hAnsi="Arial" w:cs="Arial"/>
          <w:color w:val="231F20"/>
          <w:sz w:val="16"/>
          <w:szCs w:val="16"/>
        </w:rPr>
        <w:t xml:space="preserve"> VGIL puede ser considerada responsable únicamente sobre la base de cualquier declaración contenida en este documento que sea engañosa, inexa</w:t>
      </w:r>
      <w:r>
        <w:rPr>
          <w:rFonts w:ascii="Arial" w:eastAsia="Arial" w:hAnsi="Arial" w:cs="Arial"/>
          <w:color w:val="231F20"/>
          <w:sz w:val="16"/>
          <w:szCs w:val="16"/>
        </w:rPr>
        <w:t>cta o inconsistente con las partes relevantes del Folleto para VF.</w:t>
      </w:r>
    </w:p>
    <w:p w14:paraId="62431CDC" w14:textId="77777777" w:rsidR="00991C40" w:rsidRDefault="00991C40">
      <w:pPr>
        <w:spacing w:line="1" w:lineRule="exact"/>
        <w:rPr>
          <w:sz w:val="20"/>
          <w:szCs w:val="20"/>
        </w:rPr>
      </w:pPr>
    </w:p>
    <w:p w14:paraId="5D7D3E93" w14:textId="77777777" w:rsidR="00991C40" w:rsidRDefault="00C36143">
      <w:pPr>
        <w:spacing w:line="236" w:lineRule="auto"/>
        <w:ind w:left="159" w:hanging="139"/>
        <w:rPr>
          <w:sz w:val="20"/>
          <w:szCs w:val="20"/>
        </w:rPr>
      </w:pPr>
      <w:r>
        <w:rPr>
          <w:rFonts w:ascii="Arial" w:eastAsia="Arial" w:hAnsi="Arial" w:cs="Arial"/>
          <w:color w:val="231F20"/>
          <w:sz w:val="16"/>
          <w:szCs w:val="16"/>
        </w:rPr>
        <w:t xml:space="preserve">2 </w:t>
      </w:r>
      <w:r>
        <w:rPr>
          <w:rFonts w:ascii="Arial" w:eastAsia="Arial" w:hAnsi="Arial" w:cs="Arial"/>
          <w:b/>
          <w:bCs/>
          <w:color w:val="231F20"/>
          <w:sz w:val="16"/>
          <w:szCs w:val="16"/>
        </w:rPr>
        <w:t>Subfondos:</w:t>
      </w:r>
      <w:r>
        <w:rPr>
          <w:rFonts w:ascii="Arial" w:eastAsia="Arial" w:hAnsi="Arial" w:cs="Arial"/>
          <w:color w:val="231F20"/>
          <w:sz w:val="16"/>
          <w:szCs w:val="16"/>
        </w:rPr>
        <w:t xml:space="preserve"> VF es un fondo general con varios subfondos. Este documento describe un subfondo de VF. El folleto y los informes periódicos se elaboran para toda la empresa.</w:t>
      </w:r>
    </w:p>
    <w:p w14:paraId="234AF1C6" w14:textId="77777777" w:rsidR="00991C40" w:rsidRDefault="00C36143">
      <w:pPr>
        <w:numPr>
          <w:ilvl w:val="0"/>
          <w:numId w:val="18"/>
        </w:numPr>
        <w:tabs>
          <w:tab w:val="left" w:pos="159"/>
        </w:tabs>
        <w:spacing w:line="234" w:lineRule="auto"/>
        <w:ind w:left="159" w:hanging="140"/>
        <w:rPr>
          <w:rFonts w:ascii="Arial" w:eastAsia="Arial" w:hAnsi="Arial" w:cs="Arial"/>
          <w:color w:val="231F20"/>
          <w:sz w:val="16"/>
          <w:szCs w:val="16"/>
        </w:rPr>
      </w:pPr>
      <w:r>
        <w:rPr>
          <w:rFonts w:ascii="Arial" w:eastAsia="Arial" w:hAnsi="Arial" w:cs="Arial"/>
          <w:color w:val="231F20"/>
          <w:sz w:val="16"/>
          <w:szCs w:val="16"/>
        </w:rPr>
        <w:t>VF es un fondo g</w:t>
      </w:r>
      <w:r>
        <w:rPr>
          <w:rFonts w:ascii="Arial" w:eastAsia="Arial" w:hAnsi="Arial" w:cs="Arial"/>
          <w:color w:val="231F20"/>
          <w:sz w:val="16"/>
          <w:szCs w:val="16"/>
        </w:rPr>
        <w:t>eneral con obligaciones separadas entre subfondos. Esto significa que las tenencias del Fondo se mantienen por separado según la legislación irlandesa de las tenencias de otros subfondos de VF y su inversión en el Fondo no se verá afectada por ninguna recl</w:t>
      </w:r>
      <w:r>
        <w:rPr>
          <w:rFonts w:ascii="Arial" w:eastAsia="Arial" w:hAnsi="Arial" w:cs="Arial"/>
          <w:color w:val="231F20"/>
          <w:sz w:val="16"/>
          <w:szCs w:val="16"/>
        </w:rPr>
        <w:t>amación contra cualquier otro subfondo de VF.</w:t>
      </w:r>
    </w:p>
    <w:p w14:paraId="49E398E2" w14:textId="77777777" w:rsidR="00991C40" w:rsidRDefault="00991C40">
      <w:pPr>
        <w:spacing w:line="1" w:lineRule="exact"/>
        <w:rPr>
          <w:sz w:val="20"/>
          <w:szCs w:val="20"/>
        </w:rPr>
      </w:pPr>
    </w:p>
    <w:p w14:paraId="72D909C4" w14:textId="77777777" w:rsidR="00991C40" w:rsidRDefault="00C36143">
      <w:pPr>
        <w:numPr>
          <w:ilvl w:val="0"/>
          <w:numId w:val="19"/>
        </w:numPr>
        <w:tabs>
          <w:tab w:val="left" w:pos="159"/>
        </w:tabs>
        <w:spacing w:line="234" w:lineRule="auto"/>
        <w:ind w:left="159" w:hanging="140"/>
        <w:rPr>
          <w:rFonts w:ascii="Arial" w:eastAsia="Arial" w:hAnsi="Arial" w:cs="Arial"/>
          <w:color w:val="231F20"/>
          <w:sz w:val="16"/>
          <w:szCs w:val="16"/>
        </w:rPr>
      </w:pPr>
      <w:r>
        <w:rPr>
          <w:rFonts w:ascii="Arial" w:eastAsia="Arial" w:hAnsi="Arial" w:cs="Arial"/>
          <w:b/>
          <w:bCs/>
          <w:color w:val="231F20"/>
          <w:sz w:val="16"/>
          <w:szCs w:val="16"/>
        </w:rPr>
        <w:t>Acciones:</w:t>
      </w:r>
      <w:r>
        <w:rPr>
          <w:rFonts w:ascii="Arial" w:eastAsia="Arial" w:hAnsi="Arial" w:cs="Arial"/>
          <w:color w:val="231F20"/>
          <w:sz w:val="16"/>
          <w:szCs w:val="16"/>
        </w:rPr>
        <w:t xml:space="preserve"> Las acciones de ETF en el Fondo no podrán canjearse por acciones de ETF en ningún otro subfondo de VF, sin embargo, los AP podrán, con la aprobación previa, cambiar las acciones de ETF en el Fondo a una clase de acciones diferente del mismo Fondo, donde h</w:t>
      </w:r>
      <w:r>
        <w:rPr>
          <w:rFonts w:ascii="Arial" w:eastAsia="Arial" w:hAnsi="Arial" w:cs="Arial"/>
          <w:color w:val="231F20"/>
          <w:sz w:val="16"/>
          <w:szCs w:val="16"/>
        </w:rPr>
        <w:t>aya otras clases de acciones disponibles.</w:t>
      </w:r>
    </w:p>
    <w:p w14:paraId="16287F21" w14:textId="77777777" w:rsidR="00991C40" w:rsidRDefault="00991C40">
      <w:pPr>
        <w:spacing w:line="1" w:lineRule="exact"/>
        <w:rPr>
          <w:sz w:val="20"/>
          <w:szCs w:val="20"/>
        </w:rPr>
      </w:pPr>
    </w:p>
    <w:p w14:paraId="2C493ECA" w14:textId="77777777" w:rsidR="00991C40" w:rsidRDefault="00C36143">
      <w:pPr>
        <w:numPr>
          <w:ilvl w:val="0"/>
          <w:numId w:val="20"/>
        </w:numPr>
        <w:tabs>
          <w:tab w:val="left" w:pos="159"/>
        </w:tabs>
        <w:ind w:left="159" w:hanging="140"/>
        <w:rPr>
          <w:rFonts w:ascii="Arial" w:eastAsia="Arial" w:hAnsi="Arial" w:cs="Arial"/>
          <w:color w:val="231F20"/>
          <w:sz w:val="16"/>
          <w:szCs w:val="16"/>
        </w:rPr>
      </w:pPr>
      <w:r>
        <w:rPr>
          <w:rFonts w:ascii="Arial" w:eastAsia="Arial" w:hAnsi="Arial" w:cs="Arial"/>
          <w:color w:val="231F20"/>
          <w:sz w:val="16"/>
          <w:szCs w:val="16"/>
        </w:rPr>
        <w:t>Puede encontrar información sobre otras clases de acciones ofrecidas por VF en el folleto o en nuestro sitio web en https://global.vanguard.com.</w:t>
      </w:r>
    </w:p>
    <w:p w14:paraId="5BE93A62" w14:textId="77777777" w:rsidR="00991C40" w:rsidRDefault="00991C40">
      <w:pPr>
        <w:spacing w:line="16" w:lineRule="exact"/>
        <w:rPr>
          <w:sz w:val="20"/>
          <w:szCs w:val="20"/>
        </w:rPr>
      </w:pPr>
    </w:p>
    <w:p w14:paraId="795F9BDC" w14:textId="77777777" w:rsidR="00991C40" w:rsidRDefault="00C36143">
      <w:pPr>
        <w:numPr>
          <w:ilvl w:val="0"/>
          <w:numId w:val="21"/>
        </w:numPr>
        <w:tabs>
          <w:tab w:val="left" w:pos="159"/>
        </w:tabs>
        <w:ind w:left="159" w:hanging="140"/>
        <w:rPr>
          <w:rFonts w:ascii="Arial" w:eastAsia="Arial" w:hAnsi="Arial" w:cs="Arial"/>
          <w:color w:val="231F20"/>
          <w:sz w:val="13"/>
          <w:szCs w:val="13"/>
        </w:rPr>
      </w:pPr>
      <w:r>
        <w:rPr>
          <w:rFonts w:ascii="Arial" w:eastAsia="Arial" w:hAnsi="Arial" w:cs="Arial"/>
          <w:b/>
          <w:bCs/>
          <w:color w:val="231F20"/>
          <w:sz w:val="13"/>
          <w:szCs w:val="13"/>
        </w:rPr>
        <w:t>Política de remuneración:</w:t>
      </w:r>
      <w:r>
        <w:rPr>
          <w:rFonts w:ascii="Arial" w:eastAsia="Arial" w:hAnsi="Arial" w:cs="Arial"/>
          <w:color w:val="231F20"/>
          <w:sz w:val="13"/>
          <w:szCs w:val="13"/>
        </w:rPr>
        <w:t xml:space="preserve"> Los detalles de la política de remuneración de VGIL están disponibles en https://www.ie.vanguard/content/dam/intl/europe/documents/ch/en/ucits-v-remuneration-policy.pdf</w:t>
      </w:r>
    </w:p>
    <w:p w14:paraId="384BA73E" w14:textId="77777777" w:rsidR="00991C40" w:rsidRDefault="00991C40">
      <w:pPr>
        <w:spacing w:line="42" w:lineRule="exact"/>
        <w:rPr>
          <w:rFonts w:ascii="Arial" w:eastAsia="Arial" w:hAnsi="Arial" w:cs="Arial"/>
          <w:color w:val="231F20"/>
          <w:sz w:val="13"/>
          <w:szCs w:val="13"/>
        </w:rPr>
      </w:pPr>
    </w:p>
    <w:p w14:paraId="5FA96DED" w14:textId="77777777" w:rsidR="00991C40" w:rsidRDefault="00C36143">
      <w:pPr>
        <w:spacing w:line="222" w:lineRule="auto"/>
        <w:ind w:left="159"/>
        <w:rPr>
          <w:rFonts w:ascii="Arial" w:eastAsia="Arial" w:hAnsi="Arial" w:cs="Arial"/>
          <w:color w:val="231F20"/>
          <w:sz w:val="13"/>
          <w:szCs w:val="13"/>
        </w:rPr>
      </w:pPr>
      <w:r>
        <w:rPr>
          <w:rFonts w:ascii="Arial" w:eastAsia="Arial" w:hAnsi="Arial" w:cs="Arial"/>
          <w:color w:val="231F20"/>
          <w:sz w:val="15"/>
          <w:szCs w:val="15"/>
        </w:rPr>
        <w:t>a) una descripción de la forma en que se calculan la remuneración y las prestaciones;</w:t>
      </w:r>
      <w:r>
        <w:rPr>
          <w:rFonts w:ascii="Arial" w:eastAsia="Arial" w:hAnsi="Arial" w:cs="Arial"/>
          <w:color w:val="231F20"/>
          <w:sz w:val="15"/>
          <w:szCs w:val="15"/>
        </w:rPr>
        <w:t xml:space="preserve"> y b) la identidad de las personas responsables de la concesión de la remuneración y</w:t>
      </w:r>
    </w:p>
    <w:p w14:paraId="288A41B3" w14:textId="77777777" w:rsidR="00991C40" w:rsidRDefault="00C36143">
      <w:pPr>
        <w:spacing w:line="220" w:lineRule="auto"/>
        <w:ind w:left="159"/>
        <w:rPr>
          <w:sz w:val="20"/>
          <w:szCs w:val="20"/>
        </w:rPr>
      </w:pPr>
      <w:r>
        <w:rPr>
          <w:rFonts w:ascii="Arial" w:eastAsia="Arial" w:hAnsi="Arial" w:cs="Arial"/>
          <w:color w:val="231F20"/>
          <w:sz w:val="16"/>
          <w:szCs w:val="16"/>
        </w:rPr>
        <w:t>ventajas. Se puede obtener una copia en papel de estos detalles, sin cargo, a petición de VGIL en 70 Sir John Rogerson's Quay, Dublín 2, Irlanda.</w:t>
      </w:r>
    </w:p>
    <w:p w14:paraId="34B3F2EB" w14:textId="77777777" w:rsidR="00991C40" w:rsidRDefault="00991C40">
      <w:pPr>
        <w:sectPr w:rsidR="00991C40">
          <w:type w:val="continuous"/>
          <w:pgSz w:w="11900" w:h="16940"/>
          <w:pgMar w:top="477" w:right="560" w:bottom="0" w:left="541" w:header="0" w:footer="0" w:gutter="0"/>
          <w:cols w:space="720" w:equalWidth="0">
            <w:col w:w="10799"/>
          </w:cols>
        </w:sectPr>
      </w:pPr>
    </w:p>
    <w:p w14:paraId="7D34F5C7" w14:textId="77777777" w:rsidR="00991C40" w:rsidRDefault="00991C40">
      <w:pPr>
        <w:spacing w:line="200" w:lineRule="exact"/>
        <w:rPr>
          <w:sz w:val="20"/>
          <w:szCs w:val="20"/>
        </w:rPr>
      </w:pPr>
    </w:p>
    <w:p w14:paraId="0B4020A7" w14:textId="77777777" w:rsidR="00991C40" w:rsidRDefault="00991C40">
      <w:pPr>
        <w:spacing w:line="200" w:lineRule="exact"/>
        <w:rPr>
          <w:sz w:val="20"/>
          <w:szCs w:val="20"/>
        </w:rPr>
      </w:pPr>
    </w:p>
    <w:p w14:paraId="1D7B270A" w14:textId="77777777" w:rsidR="00991C40" w:rsidRDefault="00991C40">
      <w:pPr>
        <w:spacing w:line="200" w:lineRule="exact"/>
        <w:rPr>
          <w:sz w:val="20"/>
          <w:szCs w:val="20"/>
        </w:rPr>
      </w:pPr>
    </w:p>
    <w:p w14:paraId="4F904CB7" w14:textId="77777777" w:rsidR="00991C40" w:rsidRDefault="00991C40">
      <w:pPr>
        <w:spacing w:line="200" w:lineRule="exact"/>
        <w:rPr>
          <w:sz w:val="20"/>
          <w:szCs w:val="20"/>
        </w:rPr>
      </w:pPr>
    </w:p>
    <w:p w14:paraId="06971CD3" w14:textId="77777777" w:rsidR="00991C40" w:rsidRDefault="00991C40">
      <w:pPr>
        <w:spacing w:line="200" w:lineRule="exact"/>
        <w:rPr>
          <w:sz w:val="20"/>
          <w:szCs w:val="20"/>
        </w:rPr>
      </w:pPr>
    </w:p>
    <w:p w14:paraId="2A1F701D" w14:textId="77777777" w:rsidR="00991C40" w:rsidRDefault="00991C40">
      <w:pPr>
        <w:spacing w:line="200" w:lineRule="exact"/>
        <w:rPr>
          <w:sz w:val="20"/>
          <w:szCs w:val="20"/>
        </w:rPr>
      </w:pPr>
    </w:p>
    <w:p w14:paraId="03EFCA41" w14:textId="77777777" w:rsidR="00991C40" w:rsidRDefault="00991C40">
      <w:pPr>
        <w:spacing w:line="200" w:lineRule="exact"/>
        <w:rPr>
          <w:sz w:val="20"/>
          <w:szCs w:val="20"/>
        </w:rPr>
      </w:pPr>
    </w:p>
    <w:p w14:paraId="5F96A722" w14:textId="77777777" w:rsidR="00991C40" w:rsidRDefault="00991C40">
      <w:pPr>
        <w:spacing w:line="200" w:lineRule="exact"/>
        <w:rPr>
          <w:sz w:val="20"/>
          <w:szCs w:val="20"/>
        </w:rPr>
      </w:pPr>
    </w:p>
    <w:p w14:paraId="5B95CD12" w14:textId="77777777" w:rsidR="00991C40" w:rsidRDefault="00991C40">
      <w:pPr>
        <w:spacing w:line="200" w:lineRule="exact"/>
        <w:rPr>
          <w:sz w:val="20"/>
          <w:szCs w:val="20"/>
        </w:rPr>
      </w:pPr>
    </w:p>
    <w:p w14:paraId="5220BBB2" w14:textId="77777777" w:rsidR="00991C40" w:rsidRDefault="00991C40">
      <w:pPr>
        <w:spacing w:line="200" w:lineRule="exact"/>
        <w:rPr>
          <w:sz w:val="20"/>
          <w:szCs w:val="20"/>
        </w:rPr>
      </w:pPr>
    </w:p>
    <w:p w14:paraId="13CB595B" w14:textId="77777777" w:rsidR="00991C40" w:rsidRDefault="00991C40">
      <w:pPr>
        <w:spacing w:line="200" w:lineRule="exact"/>
        <w:rPr>
          <w:sz w:val="20"/>
          <w:szCs w:val="20"/>
        </w:rPr>
      </w:pPr>
    </w:p>
    <w:p w14:paraId="6D9C8D39" w14:textId="77777777" w:rsidR="00991C40" w:rsidRDefault="00991C40">
      <w:pPr>
        <w:spacing w:line="200" w:lineRule="exact"/>
        <w:rPr>
          <w:sz w:val="20"/>
          <w:szCs w:val="20"/>
        </w:rPr>
      </w:pPr>
    </w:p>
    <w:p w14:paraId="675E05EE" w14:textId="77777777" w:rsidR="00991C40" w:rsidRDefault="00991C40">
      <w:pPr>
        <w:spacing w:line="389" w:lineRule="exact"/>
        <w:rPr>
          <w:sz w:val="20"/>
          <w:szCs w:val="20"/>
        </w:rPr>
      </w:pPr>
    </w:p>
    <w:p w14:paraId="3B46CBB8" w14:textId="77777777" w:rsidR="00991C40" w:rsidRDefault="00C36143">
      <w:pPr>
        <w:spacing w:line="251" w:lineRule="auto"/>
        <w:ind w:left="19"/>
        <w:rPr>
          <w:sz w:val="20"/>
          <w:szCs w:val="20"/>
        </w:rPr>
      </w:pPr>
      <w:r>
        <w:rPr>
          <w:rFonts w:ascii="Arial" w:eastAsia="Arial" w:hAnsi="Arial" w:cs="Arial"/>
          <w:color w:val="231F20"/>
          <w:sz w:val="16"/>
          <w:szCs w:val="16"/>
        </w:rPr>
        <w:t>El Fondo está autorizado en Irlanda y regulado por el Central Bank of Ireland (en lo sucesivo, “el Banco Central”).</w:t>
      </w:r>
      <w:r>
        <w:rPr>
          <w:rFonts w:ascii="Arial" w:eastAsia="Arial" w:hAnsi="Arial" w:cs="Arial"/>
          <w:color w:val="231F20"/>
          <w:sz w:val="16"/>
          <w:szCs w:val="16"/>
        </w:rPr>
        <w:t xml:space="preserve"> La VGIL está autorizada en Irlanda y regulada por el Banco Central. Esta información clave para el inversor es exacta a 17/02/2023.</w:t>
      </w:r>
    </w:p>
    <w:sectPr w:rsidR="00991C40">
      <w:type w:val="continuous"/>
      <w:pgSz w:w="11900" w:h="16940"/>
      <w:pgMar w:top="477" w:right="560" w:bottom="0" w:left="541" w:header="0" w:footer="0" w:gutter="0"/>
      <w:cols w:space="720" w:equalWidth="0">
        <w:col w:w="10799"/>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64C36"/>
    <w:multiLevelType w:val="hybridMultilevel"/>
    <w:tmpl w:val="FFFFFFFF"/>
    <w:lvl w:ilvl="0" w:tplc="38600576">
      <w:start w:val="2"/>
      <w:numFmt w:val="decimal"/>
      <w:lvlText w:val="%1"/>
      <w:lvlJc w:val="left"/>
    </w:lvl>
    <w:lvl w:ilvl="1" w:tplc="B7C48458">
      <w:numFmt w:val="decimal"/>
      <w:lvlText w:val=""/>
      <w:lvlJc w:val="left"/>
    </w:lvl>
    <w:lvl w:ilvl="2" w:tplc="B22EFF48">
      <w:numFmt w:val="decimal"/>
      <w:lvlText w:val=""/>
      <w:lvlJc w:val="left"/>
    </w:lvl>
    <w:lvl w:ilvl="3" w:tplc="F1AE52F4">
      <w:numFmt w:val="decimal"/>
      <w:lvlText w:val=""/>
      <w:lvlJc w:val="left"/>
    </w:lvl>
    <w:lvl w:ilvl="4" w:tplc="B88084AC">
      <w:numFmt w:val="decimal"/>
      <w:lvlText w:val=""/>
      <w:lvlJc w:val="left"/>
    </w:lvl>
    <w:lvl w:ilvl="5" w:tplc="228E28C6">
      <w:numFmt w:val="decimal"/>
      <w:lvlText w:val=""/>
      <w:lvlJc w:val="left"/>
    </w:lvl>
    <w:lvl w:ilvl="6" w:tplc="82CAE1A0">
      <w:numFmt w:val="decimal"/>
      <w:lvlText w:val=""/>
      <w:lvlJc w:val="left"/>
    </w:lvl>
    <w:lvl w:ilvl="7" w:tplc="6EECE5A2">
      <w:numFmt w:val="decimal"/>
      <w:lvlText w:val=""/>
      <w:lvlJc w:val="left"/>
    </w:lvl>
    <w:lvl w:ilvl="8" w:tplc="3806C5BE">
      <w:numFmt w:val="decimal"/>
      <w:lvlText w:val=""/>
      <w:lvlJc w:val="left"/>
    </w:lvl>
  </w:abstractNum>
  <w:abstractNum w:abstractNumId="1" w15:restartNumberingAfterBreak="0">
    <w:nsid w:val="0E898C18"/>
    <w:multiLevelType w:val="hybridMultilevel"/>
    <w:tmpl w:val="FFFFFFFF"/>
    <w:lvl w:ilvl="0" w:tplc="464E7AA0">
      <w:start w:val="2"/>
      <w:numFmt w:val="decimal"/>
      <w:lvlText w:val="%1"/>
      <w:lvlJc w:val="left"/>
    </w:lvl>
    <w:lvl w:ilvl="1" w:tplc="F190B2F2">
      <w:numFmt w:val="decimal"/>
      <w:lvlText w:val=""/>
      <w:lvlJc w:val="left"/>
    </w:lvl>
    <w:lvl w:ilvl="2" w:tplc="5F0CD404">
      <w:numFmt w:val="decimal"/>
      <w:lvlText w:val=""/>
      <w:lvlJc w:val="left"/>
    </w:lvl>
    <w:lvl w:ilvl="3" w:tplc="318AC3B2">
      <w:numFmt w:val="decimal"/>
      <w:lvlText w:val=""/>
      <w:lvlJc w:val="left"/>
    </w:lvl>
    <w:lvl w:ilvl="4" w:tplc="17A8D8E2">
      <w:numFmt w:val="decimal"/>
      <w:lvlText w:val=""/>
      <w:lvlJc w:val="left"/>
    </w:lvl>
    <w:lvl w:ilvl="5" w:tplc="FF38A46E">
      <w:numFmt w:val="decimal"/>
      <w:lvlText w:val=""/>
      <w:lvlJc w:val="left"/>
    </w:lvl>
    <w:lvl w:ilvl="6" w:tplc="B4CA1D02">
      <w:numFmt w:val="decimal"/>
      <w:lvlText w:val=""/>
      <w:lvlJc w:val="left"/>
    </w:lvl>
    <w:lvl w:ilvl="7" w:tplc="547ECCFA">
      <w:numFmt w:val="decimal"/>
      <w:lvlText w:val=""/>
      <w:lvlJc w:val="left"/>
    </w:lvl>
    <w:lvl w:ilvl="8" w:tplc="179E6B86">
      <w:numFmt w:val="decimal"/>
      <w:lvlText w:val=""/>
      <w:lvlJc w:val="left"/>
    </w:lvl>
  </w:abstractNum>
  <w:abstractNum w:abstractNumId="2" w15:restartNumberingAfterBreak="0">
    <w:nsid w:val="1CA4BE02"/>
    <w:multiLevelType w:val="hybridMultilevel"/>
    <w:tmpl w:val="FFFFFFFF"/>
    <w:lvl w:ilvl="0" w:tplc="08A85862">
      <w:start w:val="2"/>
      <w:numFmt w:val="decimal"/>
      <w:lvlText w:val="%1"/>
      <w:lvlJc w:val="left"/>
    </w:lvl>
    <w:lvl w:ilvl="1" w:tplc="2472AAF4">
      <w:numFmt w:val="decimal"/>
      <w:lvlText w:val=""/>
      <w:lvlJc w:val="left"/>
    </w:lvl>
    <w:lvl w:ilvl="2" w:tplc="CE087FB4">
      <w:numFmt w:val="decimal"/>
      <w:lvlText w:val=""/>
      <w:lvlJc w:val="left"/>
    </w:lvl>
    <w:lvl w:ilvl="3" w:tplc="99D61980">
      <w:numFmt w:val="decimal"/>
      <w:lvlText w:val=""/>
      <w:lvlJc w:val="left"/>
    </w:lvl>
    <w:lvl w:ilvl="4" w:tplc="B99635D2">
      <w:numFmt w:val="decimal"/>
      <w:lvlText w:val=""/>
      <w:lvlJc w:val="left"/>
    </w:lvl>
    <w:lvl w:ilvl="5" w:tplc="3E84C442">
      <w:numFmt w:val="decimal"/>
      <w:lvlText w:val=""/>
      <w:lvlJc w:val="left"/>
    </w:lvl>
    <w:lvl w:ilvl="6" w:tplc="A74A6194">
      <w:numFmt w:val="decimal"/>
      <w:lvlText w:val=""/>
      <w:lvlJc w:val="left"/>
    </w:lvl>
    <w:lvl w:ilvl="7" w:tplc="D83E70A2">
      <w:numFmt w:val="decimal"/>
      <w:lvlText w:val=""/>
      <w:lvlJc w:val="left"/>
    </w:lvl>
    <w:lvl w:ilvl="8" w:tplc="9AEA6916">
      <w:numFmt w:val="decimal"/>
      <w:lvlText w:val=""/>
      <w:lvlJc w:val="left"/>
    </w:lvl>
  </w:abstractNum>
  <w:abstractNum w:abstractNumId="3" w15:restartNumberingAfterBreak="0">
    <w:nsid w:val="1D756C22"/>
    <w:multiLevelType w:val="hybridMultilevel"/>
    <w:tmpl w:val="FFFFFFFF"/>
    <w:lvl w:ilvl="0" w:tplc="CFA224D0">
      <w:start w:val="2"/>
      <w:numFmt w:val="decimal"/>
      <w:lvlText w:val="%1"/>
      <w:lvlJc w:val="left"/>
    </w:lvl>
    <w:lvl w:ilvl="1" w:tplc="C8EA6FC4">
      <w:numFmt w:val="decimal"/>
      <w:lvlText w:val=""/>
      <w:lvlJc w:val="left"/>
    </w:lvl>
    <w:lvl w:ilvl="2" w:tplc="35FC51A0">
      <w:numFmt w:val="decimal"/>
      <w:lvlText w:val=""/>
      <w:lvlJc w:val="left"/>
    </w:lvl>
    <w:lvl w:ilvl="3" w:tplc="D8A48E52">
      <w:numFmt w:val="decimal"/>
      <w:lvlText w:val=""/>
      <w:lvlJc w:val="left"/>
    </w:lvl>
    <w:lvl w:ilvl="4" w:tplc="4B28C258">
      <w:numFmt w:val="decimal"/>
      <w:lvlText w:val=""/>
      <w:lvlJc w:val="left"/>
    </w:lvl>
    <w:lvl w:ilvl="5" w:tplc="539CF638">
      <w:numFmt w:val="decimal"/>
      <w:lvlText w:val=""/>
      <w:lvlJc w:val="left"/>
    </w:lvl>
    <w:lvl w:ilvl="6" w:tplc="863C2D3C">
      <w:numFmt w:val="decimal"/>
      <w:lvlText w:val=""/>
      <w:lvlJc w:val="left"/>
    </w:lvl>
    <w:lvl w:ilvl="7" w:tplc="CC86AC7C">
      <w:numFmt w:val="decimal"/>
      <w:lvlText w:val=""/>
      <w:lvlJc w:val="left"/>
    </w:lvl>
    <w:lvl w:ilvl="8" w:tplc="C6CAE8EC">
      <w:numFmt w:val="decimal"/>
      <w:lvlText w:val=""/>
      <w:lvlJc w:val="left"/>
    </w:lvl>
  </w:abstractNum>
  <w:abstractNum w:abstractNumId="4" w15:restartNumberingAfterBreak="0">
    <w:nsid w:val="265B7C24"/>
    <w:multiLevelType w:val="hybridMultilevel"/>
    <w:tmpl w:val="FFFFFFFF"/>
    <w:lvl w:ilvl="0" w:tplc="A9D25EB2">
      <w:start w:val="2"/>
      <w:numFmt w:val="decimal"/>
      <w:lvlText w:val="%1"/>
      <w:lvlJc w:val="left"/>
    </w:lvl>
    <w:lvl w:ilvl="1" w:tplc="3F668012">
      <w:numFmt w:val="decimal"/>
      <w:lvlText w:val=""/>
      <w:lvlJc w:val="left"/>
    </w:lvl>
    <w:lvl w:ilvl="2" w:tplc="B98A9296">
      <w:numFmt w:val="decimal"/>
      <w:lvlText w:val=""/>
      <w:lvlJc w:val="left"/>
    </w:lvl>
    <w:lvl w:ilvl="3" w:tplc="0396EAEC">
      <w:numFmt w:val="decimal"/>
      <w:lvlText w:val=""/>
      <w:lvlJc w:val="left"/>
    </w:lvl>
    <w:lvl w:ilvl="4" w:tplc="FCEC9074">
      <w:numFmt w:val="decimal"/>
      <w:lvlText w:val=""/>
      <w:lvlJc w:val="left"/>
    </w:lvl>
    <w:lvl w:ilvl="5" w:tplc="2E246998">
      <w:numFmt w:val="decimal"/>
      <w:lvlText w:val=""/>
      <w:lvlJc w:val="left"/>
    </w:lvl>
    <w:lvl w:ilvl="6" w:tplc="4F165B1A">
      <w:numFmt w:val="decimal"/>
      <w:lvlText w:val=""/>
      <w:lvlJc w:val="left"/>
    </w:lvl>
    <w:lvl w:ilvl="7" w:tplc="55180168">
      <w:numFmt w:val="decimal"/>
      <w:lvlText w:val=""/>
      <w:lvlJc w:val="left"/>
    </w:lvl>
    <w:lvl w:ilvl="8" w:tplc="4FC6F848">
      <w:numFmt w:val="decimal"/>
      <w:lvlText w:val=""/>
      <w:lvlJc w:val="left"/>
    </w:lvl>
  </w:abstractNum>
  <w:abstractNum w:abstractNumId="5" w15:restartNumberingAfterBreak="0">
    <w:nsid w:val="281772F3"/>
    <w:multiLevelType w:val="hybridMultilevel"/>
    <w:tmpl w:val="FFFFFFFF"/>
    <w:lvl w:ilvl="0" w:tplc="57E8CDF2">
      <w:start w:val="2"/>
      <w:numFmt w:val="decimal"/>
      <w:lvlText w:val="%1"/>
      <w:lvlJc w:val="left"/>
    </w:lvl>
    <w:lvl w:ilvl="1" w:tplc="486A95D0">
      <w:numFmt w:val="decimal"/>
      <w:lvlText w:val=""/>
      <w:lvlJc w:val="left"/>
    </w:lvl>
    <w:lvl w:ilvl="2" w:tplc="B0066D22">
      <w:numFmt w:val="decimal"/>
      <w:lvlText w:val=""/>
      <w:lvlJc w:val="left"/>
    </w:lvl>
    <w:lvl w:ilvl="3" w:tplc="253CB304">
      <w:numFmt w:val="decimal"/>
      <w:lvlText w:val=""/>
      <w:lvlJc w:val="left"/>
    </w:lvl>
    <w:lvl w:ilvl="4" w:tplc="3FFAEF40">
      <w:numFmt w:val="decimal"/>
      <w:lvlText w:val=""/>
      <w:lvlJc w:val="left"/>
    </w:lvl>
    <w:lvl w:ilvl="5" w:tplc="31281F36">
      <w:numFmt w:val="decimal"/>
      <w:lvlText w:val=""/>
      <w:lvlJc w:val="left"/>
    </w:lvl>
    <w:lvl w:ilvl="6" w:tplc="AD729F20">
      <w:numFmt w:val="decimal"/>
      <w:lvlText w:val=""/>
      <w:lvlJc w:val="left"/>
    </w:lvl>
    <w:lvl w:ilvl="7" w:tplc="243A306A">
      <w:numFmt w:val="decimal"/>
      <w:lvlText w:val=""/>
      <w:lvlJc w:val="left"/>
    </w:lvl>
    <w:lvl w:ilvl="8" w:tplc="ACEC53F2">
      <w:numFmt w:val="decimal"/>
      <w:lvlText w:val=""/>
      <w:lvlJc w:val="left"/>
    </w:lvl>
  </w:abstractNum>
  <w:abstractNum w:abstractNumId="6" w15:restartNumberingAfterBreak="0">
    <w:nsid w:val="2F5ED31F"/>
    <w:multiLevelType w:val="hybridMultilevel"/>
    <w:tmpl w:val="FFFFFFFF"/>
    <w:lvl w:ilvl="0" w:tplc="04BAC4B6">
      <w:start w:val="2"/>
      <w:numFmt w:val="decimal"/>
      <w:lvlText w:val="%1"/>
      <w:lvlJc w:val="left"/>
    </w:lvl>
    <w:lvl w:ilvl="1" w:tplc="0B121F10">
      <w:numFmt w:val="decimal"/>
      <w:lvlText w:val=""/>
      <w:lvlJc w:val="left"/>
    </w:lvl>
    <w:lvl w:ilvl="2" w:tplc="2A346FBE">
      <w:numFmt w:val="decimal"/>
      <w:lvlText w:val=""/>
      <w:lvlJc w:val="left"/>
    </w:lvl>
    <w:lvl w:ilvl="3" w:tplc="5D5CFD04">
      <w:numFmt w:val="decimal"/>
      <w:lvlText w:val=""/>
      <w:lvlJc w:val="left"/>
    </w:lvl>
    <w:lvl w:ilvl="4" w:tplc="05F0141E">
      <w:numFmt w:val="decimal"/>
      <w:lvlText w:val=""/>
      <w:lvlJc w:val="left"/>
    </w:lvl>
    <w:lvl w:ilvl="5" w:tplc="29FAE4C8">
      <w:numFmt w:val="decimal"/>
      <w:lvlText w:val=""/>
      <w:lvlJc w:val="left"/>
    </w:lvl>
    <w:lvl w:ilvl="6" w:tplc="5EBE0738">
      <w:numFmt w:val="decimal"/>
      <w:lvlText w:val=""/>
      <w:lvlJc w:val="left"/>
    </w:lvl>
    <w:lvl w:ilvl="7" w:tplc="29A609B4">
      <w:numFmt w:val="decimal"/>
      <w:lvlText w:val=""/>
      <w:lvlJc w:val="left"/>
    </w:lvl>
    <w:lvl w:ilvl="8" w:tplc="7AAE06E2">
      <w:numFmt w:val="decimal"/>
      <w:lvlText w:val=""/>
      <w:lvlJc w:val="left"/>
    </w:lvl>
  </w:abstractNum>
  <w:abstractNum w:abstractNumId="7" w15:restartNumberingAfterBreak="0">
    <w:nsid w:val="35E7A5AC"/>
    <w:multiLevelType w:val="hybridMultilevel"/>
    <w:tmpl w:val="FFFFFFFF"/>
    <w:lvl w:ilvl="0" w:tplc="D722B19C">
      <w:start w:val="2"/>
      <w:numFmt w:val="decimal"/>
      <w:lvlText w:val="%1"/>
      <w:lvlJc w:val="left"/>
    </w:lvl>
    <w:lvl w:ilvl="1" w:tplc="3A96DEC8">
      <w:numFmt w:val="decimal"/>
      <w:lvlText w:val=""/>
      <w:lvlJc w:val="left"/>
    </w:lvl>
    <w:lvl w:ilvl="2" w:tplc="324256C0">
      <w:numFmt w:val="decimal"/>
      <w:lvlText w:val=""/>
      <w:lvlJc w:val="left"/>
    </w:lvl>
    <w:lvl w:ilvl="3" w:tplc="71F084E0">
      <w:numFmt w:val="decimal"/>
      <w:lvlText w:val=""/>
      <w:lvlJc w:val="left"/>
    </w:lvl>
    <w:lvl w:ilvl="4" w:tplc="26143446">
      <w:numFmt w:val="decimal"/>
      <w:lvlText w:val=""/>
      <w:lvlJc w:val="left"/>
    </w:lvl>
    <w:lvl w:ilvl="5" w:tplc="B8A2BF64">
      <w:numFmt w:val="decimal"/>
      <w:lvlText w:val=""/>
      <w:lvlJc w:val="left"/>
    </w:lvl>
    <w:lvl w:ilvl="6" w:tplc="E61203B0">
      <w:numFmt w:val="decimal"/>
      <w:lvlText w:val=""/>
      <w:lvlJc w:val="left"/>
    </w:lvl>
    <w:lvl w:ilvl="7" w:tplc="C73617AC">
      <w:numFmt w:val="decimal"/>
      <w:lvlText w:val=""/>
      <w:lvlJc w:val="left"/>
    </w:lvl>
    <w:lvl w:ilvl="8" w:tplc="9E5CDD52">
      <w:numFmt w:val="decimal"/>
      <w:lvlText w:val=""/>
      <w:lvlJc w:val="left"/>
    </w:lvl>
  </w:abstractNum>
  <w:abstractNum w:abstractNumId="8" w15:restartNumberingAfterBreak="0">
    <w:nsid w:val="36AF3DF8"/>
    <w:multiLevelType w:val="hybridMultilevel"/>
    <w:tmpl w:val="FFFFFFFF"/>
    <w:lvl w:ilvl="0" w:tplc="325A1CA8">
      <w:start w:val="1"/>
      <w:numFmt w:val="bullet"/>
      <w:lvlText w:val="*"/>
      <w:lvlJc w:val="left"/>
    </w:lvl>
    <w:lvl w:ilvl="1" w:tplc="CD6E7BAA">
      <w:numFmt w:val="decimal"/>
      <w:lvlText w:val=""/>
      <w:lvlJc w:val="left"/>
    </w:lvl>
    <w:lvl w:ilvl="2" w:tplc="A8BCA292">
      <w:numFmt w:val="decimal"/>
      <w:lvlText w:val=""/>
      <w:lvlJc w:val="left"/>
    </w:lvl>
    <w:lvl w:ilvl="3" w:tplc="57BE98A2">
      <w:numFmt w:val="decimal"/>
      <w:lvlText w:val=""/>
      <w:lvlJc w:val="left"/>
    </w:lvl>
    <w:lvl w:ilvl="4" w:tplc="095C6FA6">
      <w:numFmt w:val="decimal"/>
      <w:lvlText w:val=""/>
      <w:lvlJc w:val="left"/>
    </w:lvl>
    <w:lvl w:ilvl="5" w:tplc="8EF02EA4">
      <w:numFmt w:val="decimal"/>
      <w:lvlText w:val=""/>
      <w:lvlJc w:val="left"/>
    </w:lvl>
    <w:lvl w:ilvl="6" w:tplc="BA7824A4">
      <w:numFmt w:val="decimal"/>
      <w:lvlText w:val=""/>
      <w:lvlJc w:val="left"/>
    </w:lvl>
    <w:lvl w:ilvl="7" w:tplc="F6026C0A">
      <w:numFmt w:val="decimal"/>
      <w:lvlText w:val=""/>
      <w:lvlJc w:val="left"/>
    </w:lvl>
    <w:lvl w:ilvl="8" w:tplc="16B21250">
      <w:numFmt w:val="decimal"/>
      <w:lvlText w:val=""/>
      <w:lvlJc w:val="left"/>
    </w:lvl>
  </w:abstractNum>
  <w:abstractNum w:abstractNumId="9" w15:restartNumberingAfterBreak="0">
    <w:nsid w:val="384F9644"/>
    <w:multiLevelType w:val="hybridMultilevel"/>
    <w:tmpl w:val="FFFFFFFF"/>
    <w:lvl w:ilvl="0" w:tplc="285A4A9E">
      <w:start w:val="2"/>
      <w:numFmt w:val="decimal"/>
      <w:lvlText w:val="%1"/>
      <w:lvlJc w:val="left"/>
    </w:lvl>
    <w:lvl w:ilvl="1" w:tplc="0774358E">
      <w:numFmt w:val="decimal"/>
      <w:lvlText w:val=""/>
      <w:lvlJc w:val="left"/>
    </w:lvl>
    <w:lvl w:ilvl="2" w:tplc="CFD25408">
      <w:numFmt w:val="decimal"/>
      <w:lvlText w:val=""/>
      <w:lvlJc w:val="left"/>
    </w:lvl>
    <w:lvl w:ilvl="3" w:tplc="174C00B2">
      <w:numFmt w:val="decimal"/>
      <w:lvlText w:val=""/>
      <w:lvlJc w:val="left"/>
    </w:lvl>
    <w:lvl w:ilvl="4" w:tplc="283CFEE2">
      <w:numFmt w:val="decimal"/>
      <w:lvlText w:val=""/>
      <w:lvlJc w:val="left"/>
    </w:lvl>
    <w:lvl w:ilvl="5" w:tplc="DB20F722">
      <w:numFmt w:val="decimal"/>
      <w:lvlText w:val=""/>
      <w:lvlJc w:val="left"/>
    </w:lvl>
    <w:lvl w:ilvl="6" w:tplc="5D2607E2">
      <w:numFmt w:val="decimal"/>
      <w:lvlText w:val=""/>
      <w:lvlJc w:val="left"/>
    </w:lvl>
    <w:lvl w:ilvl="7" w:tplc="B7A6F5AC">
      <w:numFmt w:val="decimal"/>
      <w:lvlText w:val=""/>
      <w:lvlJc w:val="left"/>
    </w:lvl>
    <w:lvl w:ilvl="8" w:tplc="516E5CA6">
      <w:numFmt w:val="decimal"/>
      <w:lvlText w:val=""/>
      <w:lvlJc w:val="left"/>
    </w:lvl>
  </w:abstractNum>
  <w:abstractNum w:abstractNumId="10" w15:restartNumberingAfterBreak="0">
    <w:nsid w:val="4009E5EC"/>
    <w:multiLevelType w:val="hybridMultilevel"/>
    <w:tmpl w:val="FFFFFFFF"/>
    <w:lvl w:ilvl="0" w:tplc="A2062A2E">
      <w:start w:val="2"/>
      <w:numFmt w:val="decimal"/>
      <w:lvlText w:val="%1"/>
      <w:lvlJc w:val="left"/>
    </w:lvl>
    <w:lvl w:ilvl="1" w:tplc="82E86B8A">
      <w:numFmt w:val="decimal"/>
      <w:lvlText w:val=""/>
      <w:lvlJc w:val="left"/>
    </w:lvl>
    <w:lvl w:ilvl="2" w:tplc="0024ABBA">
      <w:numFmt w:val="decimal"/>
      <w:lvlText w:val=""/>
      <w:lvlJc w:val="left"/>
    </w:lvl>
    <w:lvl w:ilvl="3" w:tplc="A834842E">
      <w:numFmt w:val="decimal"/>
      <w:lvlText w:val=""/>
      <w:lvlJc w:val="left"/>
    </w:lvl>
    <w:lvl w:ilvl="4" w:tplc="4870790E">
      <w:numFmt w:val="decimal"/>
      <w:lvlText w:val=""/>
      <w:lvlJc w:val="left"/>
    </w:lvl>
    <w:lvl w:ilvl="5" w:tplc="7990F3B0">
      <w:numFmt w:val="decimal"/>
      <w:lvlText w:val=""/>
      <w:lvlJc w:val="left"/>
    </w:lvl>
    <w:lvl w:ilvl="6" w:tplc="2E805F50">
      <w:numFmt w:val="decimal"/>
      <w:lvlText w:val=""/>
      <w:lvlJc w:val="left"/>
    </w:lvl>
    <w:lvl w:ilvl="7" w:tplc="DBACE30E">
      <w:numFmt w:val="decimal"/>
      <w:lvlText w:val=""/>
      <w:lvlJc w:val="left"/>
    </w:lvl>
    <w:lvl w:ilvl="8" w:tplc="275C4BCA">
      <w:numFmt w:val="decimal"/>
      <w:lvlText w:val=""/>
      <w:lvlJc w:val="left"/>
    </w:lvl>
  </w:abstractNum>
  <w:abstractNum w:abstractNumId="11" w15:restartNumberingAfterBreak="0">
    <w:nsid w:val="5376A107"/>
    <w:multiLevelType w:val="hybridMultilevel"/>
    <w:tmpl w:val="FFFFFFFF"/>
    <w:lvl w:ilvl="0" w:tplc="D6C4BBF8">
      <w:start w:val="2"/>
      <w:numFmt w:val="decimal"/>
      <w:lvlText w:val="%1"/>
      <w:lvlJc w:val="left"/>
    </w:lvl>
    <w:lvl w:ilvl="1" w:tplc="AB986FF4">
      <w:numFmt w:val="decimal"/>
      <w:lvlText w:val=""/>
      <w:lvlJc w:val="left"/>
    </w:lvl>
    <w:lvl w:ilvl="2" w:tplc="4A725C7E">
      <w:numFmt w:val="decimal"/>
      <w:lvlText w:val=""/>
      <w:lvlJc w:val="left"/>
    </w:lvl>
    <w:lvl w:ilvl="3" w:tplc="B9AA60FA">
      <w:numFmt w:val="decimal"/>
      <w:lvlText w:val=""/>
      <w:lvlJc w:val="left"/>
    </w:lvl>
    <w:lvl w:ilvl="4" w:tplc="E0C45272">
      <w:numFmt w:val="decimal"/>
      <w:lvlText w:val=""/>
      <w:lvlJc w:val="left"/>
    </w:lvl>
    <w:lvl w:ilvl="5" w:tplc="464C20A2">
      <w:numFmt w:val="decimal"/>
      <w:lvlText w:val=""/>
      <w:lvlJc w:val="left"/>
    </w:lvl>
    <w:lvl w:ilvl="6" w:tplc="64DE0412">
      <w:numFmt w:val="decimal"/>
      <w:lvlText w:val=""/>
      <w:lvlJc w:val="left"/>
    </w:lvl>
    <w:lvl w:ilvl="7" w:tplc="79846002">
      <w:numFmt w:val="decimal"/>
      <w:lvlText w:val=""/>
      <w:lvlJc w:val="left"/>
    </w:lvl>
    <w:lvl w:ilvl="8" w:tplc="80388898">
      <w:numFmt w:val="decimal"/>
      <w:lvlText w:val=""/>
      <w:lvlJc w:val="left"/>
    </w:lvl>
  </w:abstractNum>
  <w:abstractNum w:abstractNumId="12" w15:restartNumberingAfterBreak="0">
    <w:nsid w:val="574AB69B"/>
    <w:multiLevelType w:val="hybridMultilevel"/>
    <w:tmpl w:val="FFFFFFFF"/>
    <w:lvl w:ilvl="0" w:tplc="5DDACE24">
      <w:start w:val="1"/>
      <w:numFmt w:val="bullet"/>
      <w:lvlText w:val="-"/>
      <w:lvlJc w:val="left"/>
    </w:lvl>
    <w:lvl w:ilvl="1" w:tplc="B0A40BAA">
      <w:numFmt w:val="decimal"/>
      <w:lvlText w:val=""/>
      <w:lvlJc w:val="left"/>
    </w:lvl>
    <w:lvl w:ilvl="2" w:tplc="F2A4FFDE">
      <w:numFmt w:val="decimal"/>
      <w:lvlText w:val=""/>
      <w:lvlJc w:val="left"/>
    </w:lvl>
    <w:lvl w:ilvl="3" w:tplc="809A024A">
      <w:numFmt w:val="decimal"/>
      <w:lvlText w:val=""/>
      <w:lvlJc w:val="left"/>
    </w:lvl>
    <w:lvl w:ilvl="4" w:tplc="0D106AD6">
      <w:numFmt w:val="decimal"/>
      <w:lvlText w:val=""/>
      <w:lvlJc w:val="left"/>
    </w:lvl>
    <w:lvl w:ilvl="5" w:tplc="23A00D38">
      <w:numFmt w:val="decimal"/>
      <w:lvlText w:val=""/>
      <w:lvlJc w:val="left"/>
    </w:lvl>
    <w:lvl w:ilvl="6" w:tplc="7070D0F4">
      <w:numFmt w:val="decimal"/>
      <w:lvlText w:val=""/>
      <w:lvlJc w:val="left"/>
    </w:lvl>
    <w:lvl w:ilvl="7" w:tplc="BA84F6EA">
      <w:numFmt w:val="decimal"/>
      <w:lvlText w:val=""/>
      <w:lvlJc w:val="left"/>
    </w:lvl>
    <w:lvl w:ilvl="8" w:tplc="F0E28D62">
      <w:numFmt w:val="decimal"/>
      <w:lvlText w:val=""/>
      <w:lvlJc w:val="left"/>
    </w:lvl>
  </w:abstractNum>
  <w:abstractNum w:abstractNumId="13" w15:restartNumberingAfterBreak="0">
    <w:nsid w:val="5CC072F6"/>
    <w:multiLevelType w:val="hybridMultilevel"/>
    <w:tmpl w:val="FFFFFFFF"/>
    <w:lvl w:ilvl="0" w:tplc="C7743422">
      <w:start w:val="2"/>
      <w:numFmt w:val="decimal"/>
      <w:lvlText w:val="%1"/>
      <w:lvlJc w:val="left"/>
    </w:lvl>
    <w:lvl w:ilvl="1" w:tplc="4D308B2E">
      <w:start w:val="1"/>
      <w:numFmt w:val="decimal"/>
      <w:lvlText w:val="%2."/>
      <w:lvlJc w:val="left"/>
    </w:lvl>
    <w:lvl w:ilvl="2" w:tplc="06F2EF00">
      <w:numFmt w:val="decimal"/>
      <w:lvlText w:val=""/>
      <w:lvlJc w:val="left"/>
    </w:lvl>
    <w:lvl w:ilvl="3" w:tplc="794A775A">
      <w:numFmt w:val="decimal"/>
      <w:lvlText w:val=""/>
      <w:lvlJc w:val="left"/>
    </w:lvl>
    <w:lvl w:ilvl="4" w:tplc="26F60BE2">
      <w:numFmt w:val="decimal"/>
      <w:lvlText w:val=""/>
      <w:lvlJc w:val="left"/>
    </w:lvl>
    <w:lvl w:ilvl="5" w:tplc="470E7B72">
      <w:numFmt w:val="decimal"/>
      <w:lvlText w:val=""/>
      <w:lvlJc w:val="left"/>
    </w:lvl>
    <w:lvl w:ilvl="6" w:tplc="3D2E9FAC">
      <w:numFmt w:val="decimal"/>
      <w:lvlText w:val=""/>
      <w:lvlJc w:val="left"/>
    </w:lvl>
    <w:lvl w:ilvl="7" w:tplc="1FBCEE0A">
      <w:numFmt w:val="decimal"/>
      <w:lvlText w:val=""/>
      <w:lvlJc w:val="left"/>
    </w:lvl>
    <w:lvl w:ilvl="8" w:tplc="A10E25E2">
      <w:numFmt w:val="decimal"/>
      <w:lvlText w:val=""/>
      <w:lvlJc w:val="left"/>
    </w:lvl>
  </w:abstractNum>
  <w:abstractNum w:abstractNumId="14" w15:restartNumberingAfterBreak="0">
    <w:nsid w:val="5CDE741F"/>
    <w:multiLevelType w:val="hybridMultilevel"/>
    <w:tmpl w:val="FFFFFFFF"/>
    <w:lvl w:ilvl="0" w:tplc="24DA2A6A">
      <w:start w:val="2"/>
      <w:numFmt w:val="decimal"/>
      <w:lvlText w:val="%1"/>
      <w:lvlJc w:val="left"/>
    </w:lvl>
    <w:lvl w:ilvl="1" w:tplc="856641EE">
      <w:numFmt w:val="decimal"/>
      <w:lvlText w:val=""/>
      <w:lvlJc w:val="left"/>
    </w:lvl>
    <w:lvl w:ilvl="2" w:tplc="B92C6138">
      <w:numFmt w:val="decimal"/>
      <w:lvlText w:val=""/>
      <w:lvlJc w:val="left"/>
    </w:lvl>
    <w:lvl w:ilvl="3" w:tplc="1C903CA4">
      <w:numFmt w:val="decimal"/>
      <w:lvlText w:val=""/>
      <w:lvlJc w:val="left"/>
    </w:lvl>
    <w:lvl w:ilvl="4" w:tplc="C7BADE7C">
      <w:numFmt w:val="decimal"/>
      <w:lvlText w:val=""/>
      <w:lvlJc w:val="left"/>
    </w:lvl>
    <w:lvl w:ilvl="5" w:tplc="D560846A">
      <w:numFmt w:val="decimal"/>
      <w:lvlText w:val=""/>
      <w:lvlJc w:val="left"/>
    </w:lvl>
    <w:lvl w:ilvl="6" w:tplc="42B0F0A4">
      <w:numFmt w:val="decimal"/>
      <w:lvlText w:val=""/>
      <w:lvlJc w:val="left"/>
    </w:lvl>
    <w:lvl w:ilvl="7" w:tplc="57AA897E">
      <w:numFmt w:val="decimal"/>
      <w:lvlText w:val=""/>
      <w:lvlJc w:val="left"/>
    </w:lvl>
    <w:lvl w:ilvl="8" w:tplc="44D6463C">
      <w:numFmt w:val="decimal"/>
      <w:lvlText w:val=""/>
      <w:lvlJc w:val="left"/>
    </w:lvl>
  </w:abstractNum>
  <w:abstractNum w:abstractNumId="15" w15:restartNumberingAfterBreak="0">
    <w:nsid w:val="5F13C6D1"/>
    <w:multiLevelType w:val="hybridMultilevel"/>
    <w:tmpl w:val="FFFFFFFF"/>
    <w:lvl w:ilvl="0" w:tplc="5844844A">
      <w:start w:val="2"/>
      <w:numFmt w:val="decimal"/>
      <w:lvlText w:val="%1"/>
      <w:lvlJc w:val="left"/>
    </w:lvl>
    <w:lvl w:ilvl="1" w:tplc="9F70F49C">
      <w:numFmt w:val="decimal"/>
      <w:lvlText w:val=""/>
      <w:lvlJc w:val="left"/>
    </w:lvl>
    <w:lvl w:ilvl="2" w:tplc="9F5C0F48">
      <w:numFmt w:val="decimal"/>
      <w:lvlText w:val=""/>
      <w:lvlJc w:val="left"/>
    </w:lvl>
    <w:lvl w:ilvl="3" w:tplc="9F18C942">
      <w:numFmt w:val="decimal"/>
      <w:lvlText w:val=""/>
      <w:lvlJc w:val="left"/>
    </w:lvl>
    <w:lvl w:ilvl="4" w:tplc="8CDA1BB4">
      <w:numFmt w:val="decimal"/>
      <w:lvlText w:val=""/>
      <w:lvlJc w:val="left"/>
    </w:lvl>
    <w:lvl w:ilvl="5" w:tplc="43D6CED2">
      <w:numFmt w:val="decimal"/>
      <w:lvlText w:val=""/>
      <w:lvlJc w:val="left"/>
    </w:lvl>
    <w:lvl w:ilvl="6" w:tplc="08A87556">
      <w:numFmt w:val="decimal"/>
      <w:lvlText w:val=""/>
      <w:lvlJc w:val="left"/>
    </w:lvl>
    <w:lvl w:ilvl="7" w:tplc="08A4C912">
      <w:numFmt w:val="decimal"/>
      <w:lvlText w:val=""/>
      <w:lvlJc w:val="left"/>
    </w:lvl>
    <w:lvl w:ilvl="8" w:tplc="42C61AC4">
      <w:numFmt w:val="decimal"/>
      <w:lvlText w:val=""/>
      <w:lvlJc w:val="left"/>
    </w:lvl>
  </w:abstractNum>
  <w:abstractNum w:abstractNumId="16" w15:restartNumberingAfterBreak="0">
    <w:nsid w:val="65F44FB3"/>
    <w:multiLevelType w:val="hybridMultilevel"/>
    <w:tmpl w:val="FFFFFFFF"/>
    <w:lvl w:ilvl="0" w:tplc="D750A2B6">
      <w:start w:val="2"/>
      <w:numFmt w:val="decimal"/>
      <w:lvlText w:val="%1"/>
      <w:lvlJc w:val="left"/>
    </w:lvl>
    <w:lvl w:ilvl="1" w:tplc="CFC8E0E2">
      <w:numFmt w:val="decimal"/>
      <w:lvlText w:val=""/>
      <w:lvlJc w:val="left"/>
    </w:lvl>
    <w:lvl w:ilvl="2" w:tplc="D5501352">
      <w:numFmt w:val="decimal"/>
      <w:lvlText w:val=""/>
      <w:lvlJc w:val="left"/>
    </w:lvl>
    <w:lvl w:ilvl="3" w:tplc="841CA1C2">
      <w:numFmt w:val="decimal"/>
      <w:lvlText w:val=""/>
      <w:lvlJc w:val="left"/>
    </w:lvl>
    <w:lvl w:ilvl="4" w:tplc="FB72E5D0">
      <w:numFmt w:val="decimal"/>
      <w:lvlText w:val=""/>
      <w:lvlJc w:val="left"/>
    </w:lvl>
    <w:lvl w:ilvl="5" w:tplc="E600441E">
      <w:numFmt w:val="decimal"/>
      <w:lvlText w:val=""/>
      <w:lvlJc w:val="left"/>
    </w:lvl>
    <w:lvl w:ilvl="6" w:tplc="A5B460CE">
      <w:numFmt w:val="decimal"/>
      <w:lvlText w:val=""/>
      <w:lvlJc w:val="left"/>
    </w:lvl>
    <w:lvl w:ilvl="7" w:tplc="161ECDB0">
      <w:numFmt w:val="decimal"/>
      <w:lvlText w:val=""/>
      <w:lvlJc w:val="left"/>
    </w:lvl>
    <w:lvl w:ilvl="8" w:tplc="923EED4C">
      <w:numFmt w:val="decimal"/>
      <w:lvlText w:val=""/>
      <w:lvlJc w:val="left"/>
    </w:lvl>
  </w:abstractNum>
  <w:abstractNum w:abstractNumId="17" w15:restartNumberingAfterBreak="0">
    <w:nsid w:val="6CF19C31"/>
    <w:multiLevelType w:val="hybridMultilevel"/>
    <w:tmpl w:val="FFFFFFFF"/>
    <w:lvl w:ilvl="0" w:tplc="DE1C8D2C">
      <w:start w:val="2"/>
      <w:numFmt w:val="decimal"/>
      <w:lvlText w:val="%1"/>
      <w:lvlJc w:val="left"/>
    </w:lvl>
    <w:lvl w:ilvl="1" w:tplc="65560F76">
      <w:numFmt w:val="decimal"/>
      <w:lvlText w:val=""/>
      <w:lvlJc w:val="left"/>
    </w:lvl>
    <w:lvl w:ilvl="2" w:tplc="9D0C5C44">
      <w:numFmt w:val="decimal"/>
      <w:lvlText w:val=""/>
      <w:lvlJc w:val="left"/>
    </w:lvl>
    <w:lvl w:ilvl="3" w:tplc="FC920912">
      <w:numFmt w:val="decimal"/>
      <w:lvlText w:val=""/>
      <w:lvlJc w:val="left"/>
    </w:lvl>
    <w:lvl w:ilvl="4" w:tplc="7298D0DC">
      <w:numFmt w:val="decimal"/>
      <w:lvlText w:val=""/>
      <w:lvlJc w:val="left"/>
    </w:lvl>
    <w:lvl w:ilvl="5" w:tplc="12B86EB4">
      <w:numFmt w:val="decimal"/>
      <w:lvlText w:val=""/>
      <w:lvlJc w:val="left"/>
    </w:lvl>
    <w:lvl w:ilvl="6" w:tplc="5CF807EA">
      <w:numFmt w:val="decimal"/>
      <w:lvlText w:val=""/>
      <w:lvlJc w:val="left"/>
    </w:lvl>
    <w:lvl w:ilvl="7" w:tplc="1D08421E">
      <w:numFmt w:val="decimal"/>
      <w:lvlText w:val=""/>
      <w:lvlJc w:val="left"/>
    </w:lvl>
    <w:lvl w:ilvl="8" w:tplc="C360C9FE">
      <w:numFmt w:val="decimal"/>
      <w:lvlText w:val=""/>
      <w:lvlJc w:val="left"/>
    </w:lvl>
  </w:abstractNum>
  <w:abstractNum w:abstractNumId="18" w15:restartNumberingAfterBreak="0">
    <w:nsid w:val="73E51AA9"/>
    <w:multiLevelType w:val="hybridMultilevel"/>
    <w:tmpl w:val="FFFFFFFF"/>
    <w:lvl w:ilvl="0" w:tplc="EB88440E">
      <w:start w:val="2"/>
      <w:numFmt w:val="decimal"/>
      <w:lvlText w:val="%1"/>
      <w:lvlJc w:val="left"/>
    </w:lvl>
    <w:lvl w:ilvl="1" w:tplc="498273D4">
      <w:numFmt w:val="decimal"/>
      <w:lvlText w:val=""/>
      <w:lvlJc w:val="left"/>
    </w:lvl>
    <w:lvl w:ilvl="2" w:tplc="12524ED0">
      <w:numFmt w:val="decimal"/>
      <w:lvlText w:val=""/>
      <w:lvlJc w:val="left"/>
    </w:lvl>
    <w:lvl w:ilvl="3" w:tplc="1722D836">
      <w:numFmt w:val="decimal"/>
      <w:lvlText w:val=""/>
      <w:lvlJc w:val="left"/>
    </w:lvl>
    <w:lvl w:ilvl="4" w:tplc="0AA000B4">
      <w:numFmt w:val="decimal"/>
      <w:lvlText w:val=""/>
      <w:lvlJc w:val="left"/>
    </w:lvl>
    <w:lvl w:ilvl="5" w:tplc="327AE996">
      <w:numFmt w:val="decimal"/>
      <w:lvlText w:val=""/>
      <w:lvlJc w:val="left"/>
    </w:lvl>
    <w:lvl w:ilvl="6" w:tplc="D75EC50C">
      <w:numFmt w:val="decimal"/>
      <w:lvlText w:val=""/>
      <w:lvlJc w:val="left"/>
    </w:lvl>
    <w:lvl w:ilvl="7" w:tplc="D898D5D6">
      <w:numFmt w:val="decimal"/>
      <w:lvlText w:val=""/>
      <w:lvlJc w:val="left"/>
    </w:lvl>
    <w:lvl w:ilvl="8" w:tplc="FDECE692">
      <w:numFmt w:val="decimal"/>
      <w:lvlText w:val=""/>
      <w:lvlJc w:val="left"/>
    </w:lvl>
  </w:abstractNum>
  <w:abstractNum w:abstractNumId="19" w15:restartNumberingAfterBreak="0">
    <w:nsid w:val="7826CE21"/>
    <w:multiLevelType w:val="hybridMultilevel"/>
    <w:tmpl w:val="FFFFFFFF"/>
    <w:lvl w:ilvl="0" w:tplc="13F03916">
      <w:start w:val="2"/>
      <w:numFmt w:val="decimal"/>
      <w:lvlText w:val="%1"/>
      <w:lvlJc w:val="left"/>
    </w:lvl>
    <w:lvl w:ilvl="1" w:tplc="931E53FC">
      <w:numFmt w:val="decimal"/>
      <w:lvlText w:val=""/>
      <w:lvlJc w:val="left"/>
    </w:lvl>
    <w:lvl w:ilvl="2" w:tplc="4F083F72">
      <w:numFmt w:val="decimal"/>
      <w:lvlText w:val=""/>
      <w:lvlJc w:val="left"/>
    </w:lvl>
    <w:lvl w:ilvl="3" w:tplc="817A957A">
      <w:numFmt w:val="decimal"/>
      <w:lvlText w:val=""/>
      <w:lvlJc w:val="left"/>
    </w:lvl>
    <w:lvl w:ilvl="4" w:tplc="FC70FFB6">
      <w:numFmt w:val="decimal"/>
      <w:lvlText w:val=""/>
      <w:lvlJc w:val="left"/>
    </w:lvl>
    <w:lvl w:ilvl="5" w:tplc="8198161E">
      <w:numFmt w:val="decimal"/>
      <w:lvlText w:val=""/>
      <w:lvlJc w:val="left"/>
    </w:lvl>
    <w:lvl w:ilvl="6" w:tplc="02663DA6">
      <w:numFmt w:val="decimal"/>
      <w:lvlText w:val=""/>
      <w:lvlJc w:val="left"/>
    </w:lvl>
    <w:lvl w:ilvl="7" w:tplc="8054BC3C">
      <w:numFmt w:val="decimal"/>
      <w:lvlText w:val=""/>
      <w:lvlJc w:val="left"/>
    </w:lvl>
    <w:lvl w:ilvl="8" w:tplc="F306D976">
      <w:numFmt w:val="decimal"/>
      <w:lvlText w:val=""/>
      <w:lvlJc w:val="left"/>
    </w:lvl>
  </w:abstractNum>
  <w:abstractNum w:abstractNumId="20" w15:restartNumberingAfterBreak="0">
    <w:nsid w:val="79967C44"/>
    <w:multiLevelType w:val="hybridMultilevel"/>
    <w:tmpl w:val="FFFFFFFF"/>
    <w:lvl w:ilvl="0" w:tplc="97A06FF0">
      <w:start w:val="2"/>
      <w:numFmt w:val="decimal"/>
      <w:lvlText w:val="%1"/>
      <w:lvlJc w:val="left"/>
    </w:lvl>
    <w:lvl w:ilvl="1" w:tplc="B374DB2C">
      <w:numFmt w:val="decimal"/>
      <w:lvlText w:val=""/>
      <w:lvlJc w:val="left"/>
    </w:lvl>
    <w:lvl w:ilvl="2" w:tplc="A79A2ADC">
      <w:numFmt w:val="decimal"/>
      <w:lvlText w:val=""/>
      <w:lvlJc w:val="left"/>
    </w:lvl>
    <w:lvl w:ilvl="3" w:tplc="B1F0C508">
      <w:numFmt w:val="decimal"/>
      <w:lvlText w:val=""/>
      <w:lvlJc w:val="left"/>
    </w:lvl>
    <w:lvl w:ilvl="4" w:tplc="39FCEE0A">
      <w:numFmt w:val="decimal"/>
      <w:lvlText w:val=""/>
      <w:lvlJc w:val="left"/>
    </w:lvl>
    <w:lvl w:ilvl="5" w:tplc="BC6C2E88">
      <w:numFmt w:val="decimal"/>
      <w:lvlText w:val=""/>
      <w:lvlJc w:val="left"/>
    </w:lvl>
    <w:lvl w:ilvl="6" w:tplc="995CFAAA">
      <w:numFmt w:val="decimal"/>
      <w:lvlText w:val=""/>
      <w:lvlJc w:val="left"/>
    </w:lvl>
    <w:lvl w:ilvl="7" w:tplc="083C297E">
      <w:numFmt w:val="decimal"/>
      <w:lvlText w:val=""/>
      <w:lvlJc w:val="left"/>
    </w:lvl>
    <w:lvl w:ilvl="8" w:tplc="4E64B268">
      <w:numFmt w:val="decimal"/>
      <w:lvlText w:val=""/>
      <w:lvlJc w:val="left"/>
    </w:lvl>
  </w:abstractNum>
  <w:num w:numId="1" w16cid:durableId="493911385">
    <w:abstractNumId w:val="13"/>
  </w:num>
  <w:num w:numId="2" w16cid:durableId="688025061">
    <w:abstractNumId w:val="0"/>
  </w:num>
  <w:num w:numId="3" w16cid:durableId="2002736216">
    <w:abstractNumId w:val="7"/>
  </w:num>
  <w:num w:numId="4" w16cid:durableId="1514108736">
    <w:abstractNumId w:val="2"/>
  </w:num>
  <w:num w:numId="5" w16cid:durableId="417024468">
    <w:abstractNumId w:val="20"/>
  </w:num>
  <w:num w:numId="6" w16cid:durableId="915434950">
    <w:abstractNumId w:val="19"/>
  </w:num>
  <w:num w:numId="7" w16cid:durableId="558520673">
    <w:abstractNumId w:val="16"/>
  </w:num>
  <w:num w:numId="8" w16cid:durableId="524098299">
    <w:abstractNumId w:val="17"/>
  </w:num>
  <w:num w:numId="9" w16cid:durableId="95367098">
    <w:abstractNumId w:val="6"/>
  </w:num>
  <w:num w:numId="10" w16cid:durableId="1677271021">
    <w:abstractNumId w:val="12"/>
  </w:num>
  <w:num w:numId="11" w16cid:durableId="175079181">
    <w:abstractNumId w:val="4"/>
  </w:num>
  <w:num w:numId="12" w16cid:durableId="1057050642">
    <w:abstractNumId w:val="10"/>
  </w:num>
  <w:num w:numId="13" w16cid:durableId="278610674">
    <w:abstractNumId w:val="8"/>
  </w:num>
  <w:num w:numId="14" w16cid:durableId="1568223955">
    <w:abstractNumId w:val="5"/>
  </w:num>
  <w:num w:numId="15" w16cid:durableId="664475116">
    <w:abstractNumId w:val="3"/>
  </w:num>
  <w:num w:numId="16" w16cid:durableId="387724952">
    <w:abstractNumId w:val="9"/>
  </w:num>
  <w:num w:numId="17" w16cid:durableId="75247535">
    <w:abstractNumId w:val="15"/>
  </w:num>
  <w:num w:numId="18" w16cid:durableId="1390180696">
    <w:abstractNumId w:val="18"/>
  </w:num>
  <w:num w:numId="19" w16cid:durableId="1333605980">
    <w:abstractNumId w:val="1"/>
  </w:num>
  <w:num w:numId="20" w16cid:durableId="1400908708">
    <w:abstractNumId w:val="14"/>
  </w:num>
  <w:num w:numId="21" w16cid:durableId="145093089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C40"/>
    <w:rsid w:val="00991C40"/>
    <w:rsid w:val="00C3614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31C4DA14"/>
  <w15:docId w15:val="{BB53952F-1EB4-4E8C-B929-B6D952B07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es-E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1839</Words>
  <Characters>10119</Characters>
  <Application>Microsoft Office Word</Application>
  <DocSecurity>0</DocSecurity>
  <Lines>84</Lines>
  <Paragraphs>23</Paragraphs>
  <ScaleCrop>false</ScaleCrop>
  <Company/>
  <LinksUpToDate>false</LinksUpToDate>
  <CharactersWithSpaces>11935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Delgado Eladio (freedomfinance.eu)</cp:lastModifiedBy>
  <cp:revision>2</cp:revision>
  <dcterms:created xsi:type="dcterms:W3CDTF">2023-06-14T14:49:00Z</dcterms:created>
  <dcterms:modified xsi:type="dcterms:W3CDTF">2023-06-14T14:49:00Z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1-bc88714345d2_Enabled">
    <vt:lpwstr>true</vt:lpwstr>
  </property>
  <property fmtid="{D5CDD505-2E9C-101B-9397-08002B2CF9AE}" pid="3" name="MSIP_Label_defa4170-0d19-0005-0001-bc88714345d2_SetDate">
    <vt:lpwstr>2023-06-14T14:49:59Z</vt:lpwstr>
  </property>
  <property fmtid="{D5CDD505-2E9C-101B-9397-08002B2CF9AE}" pid="4" name="MSIP_Label_defa4170-0d19-0005-0001-bc88714345d2_Method">
    <vt:lpwstr>Standard</vt:lpwstr>
  </property>
  <property fmtid="{D5CDD505-2E9C-101B-9397-08002B2CF9AE}" pid="5" name="MSIP_Label_defa4170-0d19-0005-0001-bc88714345d2_Name">
    <vt:lpwstr>defa4170-0d19-0005-0001-bc88714345d2</vt:lpwstr>
  </property>
  <property fmtid="{D5CDD505-2E9C-101B-9397-08002B2CF9AE}" pid="6" name="MSIP_Label_defa4170-0d19-0005-0001-bc88714345d2_SiteId">
    <vt:lpwstr>7470e6aa-7ba3-459b-b601-e987fc0a153a</vt:lpwstr>
  </property>
  <property fmtid="{D5CDD505-2E9C-101B-9397-08002B2CF9AE}" pid="7" name="MSIP_Label_defa4170-0d19-0005-0001-bc88714345d2_ActionId">
    <vt:lpwstr>9a41a757-ebea-485c-97c0-51d3237f5c95</vt:lpwstr>
  </property>
  <property fmtid="{D5CDD505-2E9C-101B-9397-08002B2CF9AE}" pid="8" name="MSIP_Label_defa4170-0d19-0005-0001-bc88714345d2_ContentBits">
    <vt:lpwstr>0</vt:lpwstr>
  </property>
</Properties>
</file>